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BEE" w:rsidRDefault="00E16BEE">
      <w:pPr>
        <w:spacing w:line="480" w:lineRule="exact"/>
        <w:jc w:val="center"/>
        <w:rPr>
          <w:rFonts w:eastAsia="方正小标宋简体"/>
          <w:sz w:val="44"/>
          <w:szCs w:val="44"/>
        </w:rPr>
      </w:pPr>
    </w:p>
    <w:p w:rsidR="00E16BEE" w:rsidRDefault="00E16BEE">
      <w:pPr>
        <w:spacing w:line="480" w:lineRule="exact"/>
        <w:jc w:val="center"/>
        <w:rPr>
          <w:rFonts w:eastAsia="方正小标宋简体"/>
          <w:sz w:val="44"/>
          <w:szCs w:val="44"/>
        </w:rPr>
      </w:pPr>
    </w:p>
    <w:p w:rsidR="00E16BEE" w:rsidRDefault="00F038F0">
      <w:pPr>
        <w:spacing w:line="480" w:lineRule="exact"/>
        <w:jc w:val="center"/>
        <w:rPr>
          <w:rFonts w:eastAsia="方正小标宋简体"/>
          <w:sz w:val="44"/>
          <w:szCs w:val="44"/>
        </w:rPr>
      </w:pPr>
      <w:r>
        <w:rPr>
          <w:rFonts w:eastAsia="方正小标宋简体" w:hint="eastAsia"/>
          <w:sz w:val="44"/>
          <w:szCs w:val="44"/>
        </w:rPr>
        <w:t>关于优化简易低风险工程建设项目质量安全</w:t>
      </w:r>
    </w:p>
    <w:p w:rsidR="00E16BEE" w:rsidRDefault="00F038F0">
      <w:pPr>
        <w:spacing w:line="480" w:lineRule="exact"/>
        <w:jc w:val="center"/>
        <w:rPr>
          <w:rFonts w:eastAsia="方正小标宋简体"/>
          <w:sz w:val="44"/>
          <w:szCs w:val="44"/>
        </w:rPr>
      </w:pPr>
      <w:r>
        <w:rPr>
          <w:rFonts w:eastAsia="方正小标宋简体" w:hint="eastAsia"/>
          <w:sz w:val="44"/>
          <w:szCs w:val="44"/>
        </w:rPr>
        <w:t>监督管理的通知</w:t>
      </w:r>
    </w:p>
    <w:p w:rsidR="00E16BEE" w:rsidRDefault="00F038F0">
      <w:pPr>
        <w:spacing w:line="480" w:lineRule="exact"/>
        <w:jc w:val="center"/>
        <w:rPr>
          <w:rFonts w:ascii="楷体_GB2312" w:eastAsia="楷体_GB2312" w:hAnsi="楷体_GB2312" w:cs="楷体_GB2312"/>
        </w:rPr>
      </w:pPr>
      <w:r>
        <w:rPr>
          <w:rFonts w:ascii="楷体_GB2312" w:eastAsia="楷体_GB2312" w:hAnsi="楷体_GB2312" w:cs="楷体_GB2312" w:hint="eastAsia"/>
        </w:rPr>
        <w:t>（征求意见稿）</w:t>
      </w:r>
    </w:p>
    <w:p w:rsidR="00E16BEE" w:rsidRDefault="00E16BEE">
      <w:pPr>
        <w:spacing w:line="480" w:lineRule="exact"/>
        <w:jc w:val="center"/>
        <w:rPr>
          <w:rFonts w:ascii="楷体_GB2312" w:eastAsia="楷体_GB2312" w:hAnsi="楷体_GB2312" w:cs="楷体_GB2312"/>
        </w:rPr>
      </w:pPr>
    </w:p>
    <w:p w:rsidR="00E16BEE" w:rsidRDefault="00F038F0">
      <w:pPr>
        <w:spacing w:line="560" w:lineRule="exact"/>
        <w:jc w:val="left"/>
        <w:rPr>
          <w:rFonts w:ascii="仿宋_GB2312" w:hAnsi="仿宋" w:cs="仿宋"/>
        </w:rPr>
      </w:pPr>
      <w:r>
        <w:rPr>
          <w:rFonts w:ascii="仿宋_GB2312" w:hAnsi="仿宋" w:cs="仿宋" w:hint="eastAsia"/>
        </w:rPr>
        <w:t>各有关单位：</w:t>
      </w:r>
    </w:p>
    <w:p w:rsidR="00E16BEE" w:rsidRDefault="00F038F0">
      <w:pPr>
        <w:spacing w:line="560" w:lineRule="exact"/>
        <w:ind w:firstLineChars="200" w:firstLine="640"/>
        <w:jc w:val="left"/>
        <w:rPr>
          <w:rFonts w:ascii="仿宋_GB2312" w:hAnsi="仿宋" w:cs="仿宋"/>
        </w:rPr>
      </w:pPr>
      <w:r>
        <w:rPr>
          <w:rFonts w:ascii="仿宋_GB2312" w:hAnsi="仿宋" w:cs="仿宋" w:hint="eastAsia"/>
        </w:rPr>
        <w:t>为进一步深化“放管服”改革，打造与高质量发展相适应的一流营商环境，不断优化我区低风险工程建设项目质量安全监督检查工作，根据《大连市优化营商环境条例》《关于本市社会投资小型仓库、厂房等工业类建设项目实施联合监督检查的通知》等文件精神，结合近期我区质量安全监督工作的实际，现就有关事项通知如下：</w:t>
      </w:r>
    </w:p>
    <w:p w:rsidR="00E16BEE" w:rsidRDefault="00F038F0">
      <w:pPr>
        <w:numPr>
          <w:ilvl w:val="0"/>
          <w:numId w:val="1"/>
        </w:numPr>
        <w:spacing w:line="560" w:lineRule="exact"/>
        <w:ind w:firstLineChars="200" w:firstLine="640"/>
        <w:jc w:val="left"/>
        <w:rPr>
          <w:rFonts w:ascii="黑体" w:eastAsia="黑体" w:hAnsi="黑体" w:cs="黑体"/>
        </w:rPr>
      </w:pPr>
      <w:r>
        <w:rPr>
          <w:rFonts w:ascii="黑体" w:eastAsia="黑体" w:hAnsi="黑体" w:cs="黑体" w:hint="eastAsia"/>
        </w:rPr>
        <w:t>实施范围</w:t>
      </w:r>
    </w:p>
    <w:p w:rsidR="00E16BEE" w:rsidRDefault="00F038F0">
      <w:pPr>
        <w:spacing w:line="560" w:lineRule="exact"/>
        <w:ind w:firstLineChars="200" w:firstLine="640"/>
        <w:jc w:val="left"/>
        <w:rPr>
          <w:rFonts w:ascii="仿宋_GB2312" w:hAnsi="仿宋" w:cs="仿宋"/>
        </w:rPr>
      </w:pPr>
      <w:r>
        <w:rPr>
          <w:rFonts w:ascii="仿宋_GB2312" w:hAnsi="仿宋" w:cs="仿宋" w:hint="eastAsia"/>
        </w:rPr>
        <w:t>本通知所指的简易低风险建设工程项目是指在我区行政区域内</w:t>
      </w:r>
      <w:r w:rsidR="008A47F8">
        <w:rPr>
          <w:rFonts w:ascii="仿宋_GB2312" w:hAnsi="仿宋" w:cs="仿宋" w:hint="eastAsia"/>
        </w:rPr>
        <w:t>（不含保税区）</w:t>
      </w:r>
      <w:r>
        <w:rPr>
          <w:rFonts w:ascii="仿宋_GB2312" w:hAnsi="仿宋" w:cs="仿宋" w:hint="eastAsia"/>
        </w:rPr>
        <w:t>，经依法批准设立未直接使用各级公共财政投资建设的，总建筑面积不大于5000平方米、建筑高度不大于24米、地下不超过一层，功能单一、技术要求简单的标准厂房、普通仓库、配套办公建筑、商业建筑、公共服务设施等社会投资简易低风险建筑工程。涉及易燃易爆、有毒有害等安全保护项目、生态环境影响大的项目以及有风貌保护等特殊要求的项目除外（详见附件）。</w:t>
      </w:r>
    </w:p>
    <w:p w:rsidR="00E16BEE" w:rsidRDefault="00F038F0">
      <w:pPr>
        <w:spacing w:line="560" w:lineRule="exact"/>
        <w:ind w:firstLineChars="200" w:firstLine="640"/>
        <w:jc w:val="left"/>
        <w:rPr>
          <w:rFonts w:ascii="黑体" w:eastAsia="黑体" w:hAnsi="黑体" w:cs="黑体"/>
        </w:rPr>
      </w:pPr>
      <w:r>
        <w:rPr>
          <w:rFonts w:ascii="黑体" w:eastAsia="黑体" w:hAnsi="黑体" w:cs="黑体" w:hint="eastAsia"/>
        </w:rPr>
        <w:t>二、管理流程</w:t>
      </w:r>
    </w:p>
    <w:p w:rsidR="00E16BEE" w:rsidRDefault="00F038F0">
      <w:pPr>
        <w:spacing w:line="560" w:lineRule="exact"/>
        <w:ind w:firstLineChars="200" w:firstLine="640"/>
        <w:jc w:val="left"/>
        <w:rPr>
          <w:rFonts w:ascii="仿宋_GB2312" w:hAnsi="仿宋" w:cs="仿宋"/>
        </w:rPr>
      </w:pPr>
      <w:r>
        <w:rPr>
          <w:rFonts w:ascii="楷体_GB2312" w:eastAsia="楷体_GB2312" w:hAnsi="楷体_GB2312" w:cs="楷体_GB2312" w:hint="eastAsia"/>
        </w:rPr>
        <w:lastRenderedPageBreak/>
        <w:t>（一）</w:t>
      </w:r>
      <w:r>
        <w:rPr>
          <w:rFonts w:ascii="仿宋_GB2312" w:hAnsi="仿宋" w:cs="仿宋" w:hint="eastAsia"/>
        </w:rPr>
        <w:t>项目在取得施工许可证（或不需取得施工许可证）的同时，参建单位可根据工程情况，提出列为简易低风险建设工程的申请，并自主填报《简易低风险工程建设项目承诺书》。</w:t>
      </w:r>
    </w:p>
    <w:p w:rsidR="00E16BEE" w:rsidRDefault="00F038F0">
      <w:pPr>
        <w:spacing w:line="560" w:lineRule="exact"/>
        <w:ind w:firstLineChars="200" w:firstLine="640"/>
        <w:jc w:val="left"/>
        <w:rPr>
          <w:rFonts w:ascii="仿宋_GB2312" w:hAnsi="仿宋" w:cs="仿宋"/>
        </w:rPr>
      </w:pPr>
      <w:r>
        <w:rPr>
          <w:rFonts w:ascii="楷体_GB2312" w:eastAsia="楷体_GB2312" w:hAnsi="楷体_GB2312" w:cs="楷体_GB2312" w:hint="eastAsia"/>
        </w:rPr>
        <w:t>（二）</w:t>
      </w:r>
      <w:r>
        <w:rPr>
          <w:rFonts w:ascii="仿宋_GB2312" w:hAnsi="仿宋" w:cs="仿宋" w:hint="eastAsia"/>
        </w:rPr>
        <w:t>针对纳入工程质量安全监督范围的简易低风险建设工程项目特点，为减轻企业负担、保证工程质量，除遇工程发生质量安全事故等紧急情况外，工程质量安全监督机构在工程办理施工许可后进行一次联合监督交底和在工程结构封顶前实施一次联合监督检查。联合监督检查包括工程质量和安全监督检查，当场形成监督检查记录。其他除非必要，不再另行通过“双随机”方式开展质量安全监督检查。</w:t>
      </w:r>
    </w:p>
    <w:p w:rsidR="00E16BEE" w:rsidRDefault="00F038F0">
      <w:pPr>
        <w:spacing w:line="560" w:lineRule="exact"/>
        <w:ind w:firstLineChars="200" w:firstLine="640"/>
        <w:jc w:val="left"/>
        <w:rPr>
          <w:rFonts w:ascii="仿宋_GB2312" w:hAnsi="仿宋" w:cs="仿宋"/>
        </w:rPr>
      </w:pPr>
      <w:r>
        <w:rPr>
          <w:rFonts w:ascii="楷体_GB2312" w:eastAsia="楷体_GB2312" w:hAnsi="楷体_GB2312" w:cs="楷体_GB2312" w:hint="eastAsia"/>
        </w:rPr>
        <w:t>（三）</w:t>
      </w:r>
      <w:r>
        <w:rPr>
          <w:rFonts w:ascii="仿宋_GB2312" w:hAnsi="仿宋" w:cs="仿宋" w:hint="eastAsia"/>
        </w:rPr>
        <w:t>工程质量安全监督机构应当按照住房城乡建设部《房屋建筑和市政基础设施工程质量监督管理规定》《房屋建筑和市政基础设施工程施工安全监督规定》以及有关规定，以抽查、抽测为主要方式实施简易低风险工程施工过程中的一次监督检查。重点检查下列内容：</w:t>
      </w:r>
    </w:p>
    <w:p w:rsidR="00E16BEE" w:rsidRDefault="00F038F0">
      <w:pPr>
        <w:pStyle w:val="aa"/>
        <w:spacing w:line="560" w:lineRule="exact"/>
        <w:ind w:firstLine="640"/>
        <w:jc w:val="left"/>
        <w:rPr>
          <w:rFonts w:ascii="仿宋_GB2312" w:hAnsi="仿宋" w:cs="仿宋"/>
        </w:rPr>
      </w:pPr>
      <w:r>
        <w:rPr>
          <w:rFonts w:ascii="仿宋_GB2312" w:hAnsi="仿宋" w:cs="仿宋" w:hint="eastAsia"/>
        </w:rPr>
        <w:t>1.建设工程参建单位执行法律法规和工程建设强制性标准的情况；</w:t>
      </w:r>
    </w:p>
    <w:p w:rsidR="00E16BEE" w:rsidRDefault="00F038F0">
      <w:pPr>
        <w:pStyle w:val="aa"/>
        <w:spacing w:line="560" w:lineRule="exact"/>
        <w:ind w:firstLine="640"/>
        <w:jc w:val="left"/>
        <w:rPr>
          <w:rFonts w:ascii="仿宋_GB2312" w:hAnsi="仿宋" w:cs="仿宋"/>
        </w:rPr>
      </w:pPr>
      <w:r>
        <w:rPr>
          <w:rFonts w:ascii="仿宋_GB2312" w:hAnsi="仿宋" w:cs="仿宋" w:hint="eastAsia"/>
        </w:rPr>
        <w:t>2.抽查、抽测涉及工程结构安全和主要使用功能的工程实体质量；</w:t>
      </w:r>
    </w:p>
    <w:p w:rsidR="00E16BEE" w:rsidRDefault="00F038F0">
      <w:pPr>
        <w:pStyle w:val="aa"/>
        <w:spacing w:line="560" w:lineRule="exact"/>
        <w:ind w:firstLine="640"/>
        <w:jc w:val="left"/>
        <w:rPr>
          <w:rFonts w:ascii="仿宋_GB2312" w:hAnsi="仿宋" w:cs="仿宋"/>
        </w:rPr>
      </w:pPr>
      <w:r>
        <w:rPr>
          <w:rFonts w:ascii="仿宋_GB2312" w:hAnsi="仿宋" w:cs="仿宋" w:hint="eastAsia"/>
        </w:rPr>
        <w:t>3.抽查、抽测主要建筑材料、建筑构配件和设备的质量；</w:t>
      </w:r>
    </w:p>
    <w:p w:rsidR="00E16BEE" w:rsidRDefault="00F038F0">
      <w:pPr>
        <w:pStyle w:val="aa"/>
        <w:spacing w:line="560" w:lineRule="exact"/>
        <w:ind w:firstLine="640"/>
        <w:jc w:val="left"/>
        <w:rPr>
          <w:rFonts w:ascii="仿宋_GB2312" w:hAnsi="仿宋" w:cs="仿宋"/>
        </w:rPr>
      </w:pPr>
      <w:r>
        <w:rPr>
          <w:rFonts w:ascii="仿宋_GB2312" w:hAnsi="仿宋" w:cs="仿宋" w:hint="eastAsia"/>
        </w:rPr>
        <w:t>4.抽查工程建设责任主体履行安全生产职责情况和建筑施工安全生产标准化开展情况。</w:t>
      </w:r>
    </w:p>
    <w:p w:rsidR="00E16BEE" w:rsidRDefault="00F038F0">
      <w:pPr>
        <w:spacing w:line="560" w:lineRule="exact"/>
        <w:ind w:firstLineChars="200" w:firstLine="640"/>
        <w:jc w:val="left"/>
        <w:rPr>
          <w:rFonts w:ascii="仿宋_GB2312" w:hAnsi="仿宋" w:cs="仿宋"/>
        </w:rPr>
      </w:pPr>
      <w:r>
        <w:rPr>
          <w:rFonts w:ascii="楷体_GB2312" w:eastAsia="楷体_GB2312" w:hAnsi="楷体_GB2312" w:cs="楷体_GB2312" w:hint="eastAsia"/>
        </w:rPr>
        <w:lastRenderedPageBreak/>
        <w:t>（四）</w:t>
      </w:r>
      <w:r>
        <w:rPr>
          <w:rFonts w:ascii="仿宋_GB2312" w:hAnsi="仿宋" w:cs="仿宋" w:hint="eastAsia"/>
        </w:rPr>
        <w:t>质量安全监督机构发现工程质量安全责任主体违反法律法规和工程建设强制性标准，或发生质量安全事故、存在承诺不兑现等行为的，应组织加大监督频次和监督查处力度，采取责令改正、禁止承诺或撤销相关许可等惩戒。情节严重的，依法予以行政处罚。</w:t>
      </w:r>
    </w:p>
    <w:p w:rsidR="00E16BEE" w:rsidRDefault="00F038F0">
      <w:pPr>
        <w:spacing w:line="560" w:lineRule="exact"/>
        <w:ind w:firstLineChars="200" w:firstLine="640"/>
        <w:jc w:val="left"/>
        <w:rPr>
          <w:rFonts w:ascii="仿宋_GB2312" w:hAnsi="仿宋" w:cs="仿宋"/>
        </w:rPr>
      </w:pPr>
      <w:r>
        <w:rPr>
          <w:rFonts w:ascii="楷体_GB2312" w:eastAsia="楷体_GB2312" w:hAnsi="楷体_GB2312" w:cs="楷体_GB2312" w:hint="eastAsia"/>
        </w:rPr>
        <w:t>（五）</w:t>
      </w:r>
      <w:r>
        <w:rPr>
          <w:rFonts w:ascii="仿宋_GB2312" w:hAnsi="仿宋" w:cs="仿宋" w:hint="eastAsia"/>
        </w:rPr>
        <w:t>本通知</w:t>
      </w:r>
      <w:bookmarkStart w:id="0" w:name="_GoBack"/>
      <w:bookmarkEnd w:id="0"/>
      <w:r>
        <w:rPr>
          <w:rFonts w:ascii="仿宋_GB2312" w:hAnsi="仿宋" w:cs="仿宋" w:hint="eastAsia"/>
        </w:rPr>
        <w:t>自印发之日起实施。</w:t>
      </w:r>
    </w:p>
    <w:p w:rsidR="00E16BEE" w:rsidRDefault="00E16BEE">
      <w:pPr>
        <w:spacing w:line="560" w:lineRule="exact"/>
        <w:ind w:firstLineChars="200" w:firstLine="640"/>
        <w:jc w:val="left"/>
        <w:rPr>
          <w:rFonts w:ascii="仿宋_GB2312" w:hAnsi="仿宋" w:cs="仿宋"/>
        </w:rPr>
      </w:pPr>
    </w:p>
    <w:p w:rsidR="00E16BEE" w:rsidRDefault="00F038F0">
      <w:pPr>
        <w:spacing w:line="560" w:lineRule="exact"/>
        <w:ind w:firstLineChars="200" w:firstLine="640"/>
        <w:jc w:val="left"/>
        <w:rPr>
          <w:rFonts w:ascii="仿宋_GB2312" w:hAnsi="仿宋" w:cs="仿宋"/>
        </w:rPr>
      </w:pPr>
      <w:r>
        <w:rPr>
          <w:rFonts w:ascii="仿宋_GB2312" w:hAnsi="仿宋" w:cs="仿宋" w:hint="eastAsia"/>
        </w:rPr>
        <w:t>附件：1.简易低风险工程建设项目清单</w:t>
      </w:r>
    </w:p>
    <w:p w:rsidR="00E16BEE" w:rsidRDefault="00F038F0">
      <w:pPr>
        <w:spacing w:line="560" w:lineRule="exact"/>
        <w:ind w:left="1600"/>
        <w:jc w:val="left"/>
        <w:rPr>
          <w:rFonts w:ascii="仿宋_GB2312" w:hAnsi="仿宋" w:cs="仿宋"/>
        </w:rPr>
      </w:pPr>
      <w:r>
        <w:rPr>
          <w:rFonts w:ascii="仿宋_GB2312" w:hAnsi="仿宋" w:cs="仿宋" w:hint="eastAsia"/>
        </w:rPr>
        <w:t>2.简易低风险工程建设项目申报表</w:t>
      </w:r>
    </w:p>
    <w:p w:rsidR="00E16BEE" w:rsidRDefault="00E16BEE">
      <w:pPr>
        <w:spacing w:line="560" w:lineRule="exact"/>
        <w:jc w:val="left"/>
        <w:rPr>
          <w:rFonts w:ascii="仿宋_GB2312" w:hAnsi="仿宋" w:cs="仿宋"/>
        </w:rPr>
      </w:pPr>
    </w:p>
    <w:p w:rsidR="00E16BEE" w:rsidRDefault="00E16BEE">
      <w:pPr>
        <w:spacing w:line="560" w:lineRule="exact"/>
        <w:jc w:val="left"/>
        <w:rPr>
          <w:rFonts w:ascii="仿宋_GB2312" w:hAnsi="仿宋" w:cs="仿宋"/>
        </w:rPr>
      </w:pPr>
    </w:p>
    <w:p w:rsidR="00E16BEE" w:rsidRDefault="00E16BEE">
      <w:pPr>
        <w:spacing w:line="560" w:lineRule="exact"/>
        <w:jc w:val="left"/>
        <w:rPr>
          <w:rFonts w:ascii="仿宋_GB2312" w:hAnsi="仿宋" w:cs="仿宋"/>
        </w:rPr>
      </w:pPr>
    </w:p>
    <w:p w:rsidR="00E16BEE" w:rsidRDefault="00F038F0">
      <w:pPr>
        <w:spacing w:line="560" w:lineRule="exact"/>
        <w:jc w:val="right"/>
        <w:rPr>
          <w:rFonts w:ascii="仿宋_GB2312" w:hAnsi="仿宋" w:cs="仿宋"/>
        </w:rPr>
      </w:pPr>
      <w:r>
        <w:rPr>
          <w:rFonts w:ascii="仿宋_GB2312" w:hAnsi="仿宋" w:cs="仿宋" w:hint="eastAsia"/>
        </w:rPr>
        <w:t>大连金普新区住房和城乡建设局</w:t>
      </w:r>
    </w:p>
    <w:p w:rsidR="00E16BEE" w:rsidRDefault="00D3513C">
      <w:pPr>
        <w:spacing w:line="560" w:lineRule="exact"/>
        <w:jc w:val="center"/>
        <w:rPr>
          <w:rFonts w:ascii="仿宋_GB2312" w:hAnsi="仿宋" w:cs="仿宋"/>
        </w:rPr>
      </w:pPr>
      <w:r>
        <w:rPr>
          <w:rFonts w:ascii="仿宋_GB2312" w:hAnsi="仿宋" w:cs="仿宋" w:hint="eastAsia"/>
        </w:rPr>
        <w:t xml:space="preserve">                             </w:t>
      </w:r>
      <w:r w:rsidR="00F038F0">
        <w:rPr>
          <w:rFonts w:ascii="仿宋_GB2312" w:hAnsi="仿宋" w:cs="仿宋" w:hint="eastAsia"/>
        </w:rPr>
        <w:t>2024年</w:t>
      </w:r>
      <w:r w:rsidR="00863B34">
        <w:rPr>
          <w:rFonts w:ascii="仿宋_GB2312" w:hAnsi="仿宋" w:cs="仿宋" w:hint="eastAsia"/>
        </w:rPr>
        <w:t>6</w:t>
      </w:r>
      <w:r w:rsidR="00F038F0">
        <w:rPr>
          <w:rFonts w:ascii="仿宋_GB2312" w:hAnsi="仿宋" w:cs="仿宋" w:hint="eastAsia"/>
        </w:rPr>
        <w:t>月</w:t>
      </w:r>
      <w:r w:rsidR="00791B70">
        <w:rPr>
          <w:rFonts w:ascii="仿宋_GB2312" w:hAnsi="仿宋" w:cs="仿宋" w:hint="eastAsia"/>
        </w:rPr>
        <w:t>5</w:t>
      </w:r>
      <w:r w:rsidR="00F038F0">
        <w:rPr>
          <w:rFonts w:ascii="仿宋_GB2312" w:hAnsi="仿宋" w:cs="仿宋" w:hint="eastAsia"/>
        </w:rPr>
        <w:t>日</w:t>
      </w:r>
    </w:p>
    <w:p w:rsidR="00E16BEE" w:rsidRDefault="00E16BEE">
      <w:pPr>
        <w:spacing w:line="560" w:lineRule="exact"/>
        <w:jc w:val="center"/>
        <w:rPr>
          <w:rFonts w:ascii="仿宋_GB2312" w:hAnsi="仿宋" w:cs="仿宋"/>
        </w:rPr>
        <w:sectPr w:rsidR="00E16BEE">
          <w:footerReference w:type="default" r:id="rId7"/>
          <w:pgSz w:w="11906" w:h="16838"/>
          <w:pgMar w:top="2098" w:right="1417" w:bottom="2098" w:left="1417" w:header="720" w:footer="720" w:gutter="0"/>
          <w:cols w:space="720"/>
          <w:docGrid w:type="lines" w:linePitch="312"/>
        </w:sectPr>
      </w:pPr>
    </w:p>
    <w:p w:rsidR="00E16BEE" w:rsidRDefault="00F038F0">
      <w:pPr>
        <w:spacing w:line="560" w:lineRule="exact"/>
        <w:rPr>
          <w:rFonts w:ascii="仿宋_GB2312" w:hAnsi="仿宋" w:cs="仿宋"/>
        </w:rPr>
      </w:pPr>
      <w:r>
        <w:rPr>
          <w:rFonts w:ascii="黑体" w:eastAsia="黑体" w:hAnsi="黑体" w:cs="黑体" w:hint="eastAsia"/>
        </w:rPr>
        <w:lastRenderedPageBreak/>
        <w:t>附件1：                      简易低风险工程建设项目清单</w:t>
      </w:r>
    </w:p>
    <w:tbl>
      <w:tblPr>
        <w:tblStyle w:val="a8"/>
        <w:tblW w:w="0" w:type="auto"/>
        <w:tblLayout w:type="fixed"/>
        <w:tblLook w:val="04A0"/>
      </w:tblPr>
      <w:tblGrid>
        <w:gridCol w:w="881"/>
        <w:gridCol w:w="938"/>
        <w:gridCol w:w="762"/>
        <w:gridCol w:w="775"/>
        <w:gridCol w:w="4213"/>
        <w:gridCol w:w="1950"/>
        <w:gridCol w:w="1750"/>
        <w:gridCol w:w="2612"/>
      </w:tblGrid>
      <w:tr w:rsidR="00E16BEE">
        <w:trPr>
          <w:trHeight w:val="90"/>
        </w:trPr>
        <w:tc>
          <w:tcPr>
            <w:tcW w:w="881"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建筑物分类</w:t>
            </w:r>
          </w:p>
        </w:tc>
        <w:tc>
          <w:tcPr>
            <w:tcW w:w="938"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建筑物性质</w:t>
            </w:r>
          </w:p>
        </w:tc>
        <w:tc>
          <w:tcPr>
            <w:tcW w:w="762"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建筑面积</w:t>
            </w:r>
          </w:p>
        </w:tc>
        <w:tc>
          <w:tcPr>
            <w:tcW w:w="775"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建筑高度</w:t>
            </w:r>
          </w:p>
        </w:tc>
        <w:tc>
          <w:tcPr>
            <w:tcW w:w="4213"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建造技术要求</w:t>
            </w:r>
          </w:p>
        </w:tc>
        <w:tc>
          <w:tcPr>
            <w:tcW w:w="1950"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预期用途</w:t>
            </w:r>
          </w:p>
        </w:tc>
        <w:tc>
          <w:tcPr>
            <w:tcW w:w="1750"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周边情况</w:t>
            </w:r>
          </w:p>
        </w:tc>
        <w:tc>
          <w:tcPr>
            <w:tcW w:w="2612"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人员密集情况</w:t>
            </w:r>
          </w:p>
        </w:tc>
      </w:tr>
      <w:tr w:rsidR="00E16BEE">
        <w:trPr>
          <w:trHeight w:val="2177"/>
        </w:trPr>
        <w:tc>
          <w:tcPr>
            <w:tcW w:w="881" w:type="dxa"/>
            <w:vMerge w:val="restart"/>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工业建筑</w:t>
            </w:r>
          </w:p>
        </w:tc>
        <w:tc>
          <w:tcPr>
            <w:tcW w:w="938"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标准厂房</w:t>
            </w:r>
          </w:p>
        </w:tc>
        <w:tc>
          <w:tcPr>
            <w:tcW w:w="762" w:type="dxa"/>
            <w:vMerge w:val="restart"/>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总建筑面积不大于5000平方米</w:t>
            </w:r>
          </w:p>
        </w:tc>
        <w:tc>
          <w:tcPr>
            <w:tcW w:w="775" w:type="dxa"/>
            <w:vMerge w:val="restart"/>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建筑高度不大于24米</w:t>
            </w:r>
          </w:p>
        </w:tc>
        <w:tc>
          <w:tcPr>
            <w:tcW w:w="4213" w:type="dxa"/>
            <w:vMerge w:val="restart"/>
            <w:vAlign w:val="center"/>
          </w:tcPr>
          <w:p w:rsidR="00E16BEE" w:rsidRDefault="00F038F0">
            <w:pPr>
              <w:jc w:val="left"/>
              <w:rPr>
                <w:rFonts w:ascii="仿宋_GB2312" w:hAnsi="仿宋" w:cs="仿宋"/>
                <w:sz w:val="21"/>
                <w:szCs w:val="21"/>
              </w:rPr>
            </w:pPr>
            <w:r>
              <w:rPr>
                <w:rFonts w:ascii="仿宋_GB2312" w:hAnsi="仿宋" w:cs="仿宋" w:hint="eastAsia"/>
                <w:sz w:val="21"/>
                <w:szCs w:val="21"/>
              </w:rPr>
              <w:t>1.无开挖深度超过3m的基坑或地下工程  2.凝土模板支撑工程搭设高度5m以下， 或搭设跨度10m 以下，或施工总荷载10kN/㎡ 以下， 或集中线荷载15kN/m 以下</w:t>
            </w:r>
          </w:p>
          <w:p w:rsidR="00E16BEE" w:rsidRDefault="00F038F0">
            <w:pPr>
              <w:jc w:val="left"/>
              <w:rPr>
                <w:rFonts w:ascii="仿宋_GB2312" w:hAnsi="仿宋" w:cs="仿宋"/>
                <w:sz w:val="21"/>
                <w:szCs w:val="21"/>
              </w:rPr>
            </w:pPr>
            <w:r>
              <w:rPr>
                <w:rFonts w:ascii="仿宋_GB2312" w:hAnsi="仿宋" w:cs="仿宋" w:hint="eastAsia"/>
                <w:sz w:val="21"/>
                <w:szCs w:val="21"/>
              </w:rPr>
              <w:t>3.无附着式升降脚手架、悬挑式脚手架工程</w:t>
            </w:r>
          </w:p>
          <w:p w:rsidR="00E16BEE" w:rsidRDefault="00F038F0">
            <w:pPr>
              <w:jc w:val="left"/>
              <w:rPr>
                <w:rFonts w:ascii="仿宋_GB2312" w:hAnsi="仿宋" w:cs="仿宋"/>
                <w:sz w:val="21"/>
                <w:szCs w:val="21"/>
              </w:rPr>
            </w:pPr>
            <w:r>
              <w:rPr>
                <w:rFonts w:ascii="仿宋_GB2312" w:hAnsi="仿宋" w:cs="仿宋" w:hint="eastAsia"/>
                <w:sz w:val="21"/>
                <w:szCs w:val="21"/>
              </w:rPr>
              <w:t>4.非常规起重且单件起吊重量10kN以下</w:t>
            </w:r>
          </w:p>
          <w:p w:rsidR="00E16BEE" w:rsidRDefault="00F038F0">
            <w:pPr>
              <w:jc w:val="left"/>
              <w:rPr>
                <w:rFonts w:ascii="仿宋_GB2312" w:hAnsi="仿宋" w:cs="仿宋"/>
                <w:sz w:val="21"/>
                <w:szCs w:val="21"/>
              </w:rPr>
            </w:pPr>
            <w:r>
              <w:rPr>
                <w:rFonts w:ascii="仿宋_GB2312" w:hAnsi="仿宋" w:cs="仿宋" w:hint="eastAsia"/>
                <w:sz w:val="21"/>
                <w:szCs w:val="21"/>
              </w:rPr>
              <w:t>5.无钢结构工程</w:t>
            </w:r>
          </w:p>
        </w:tc>
        <w:tc>
          <w:tcPr>
            <w:tcW w:w="195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不生产易燃、易爆、有毒、有害物品或危险品；不涉及生态环境影响的厂房</w:t>
            </w:r>
          </w:p>
        </w:tc>
        <w:tc>
          <w:tcPr>
            <w:tcW w:w="1750" w:type="dxa"/>
            <w:vMerge w:val="restart"/>
            <w:vAlign w:val="center"/>
          </w:tcPr>
          <w:p w:rsidR="00E16BEE" w:rsidRDefault="00F038F0">
            <w:pPr>
              <w:jc w:val="left"/>
              <w:rPr>
                <w:rFonts w:ascii="仿宋_GB2312" w:hAnsi="仿宋" w:cs="仿宋"/>
                <w:sz w:val="21"/>
                <w:szCs w:val="21"/>
              </w:rPr>
            </w:pPr>
            <w:r>
              <w:rPr>
                <w:rFonts w:ascii="仿宋_GB2312" w:hAnsi="仿宋" w:cs="仿宋" w:hint="eastAsia"/>
                <w:sz w:val="21"/>
                <w:szCs w:val="21"/>
              </w:rPr>
              <w:t>周边无人员密集的建筑（大型公交枢纽、 儿童活动场 所、老年 人照料设施、学校），周边无人员密集的公 共空间，周边无林地、化工厂、加油站、甲乙丙类液体和可燃气体储罐等建构筑物。</w:t>
            </w:r>
          </w:p>
          <w:p w:rsidR="00E16BEE" w:rsidRDefault="00E16BEE">
            <w:pPr>
              <w:jc w:val="left"/>
              <w:rPr>
                <w:rFonts w:ascii="仿宋_GB2312" w:hAnsi="仿宋" w:cs="仿宋"/>
                <w:sz w:val="21"/>
                <w:szCs w:val="21"/>
              </w:rPr>
            </w:pPr>
          </w:p>
        </w:tc>
        <w:tc>
          <w:tcPr>
            <w:tcW w:w="2612"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劳动密集型企业的生产加工车间等建筑总建筑面积不大于2500平方米</w:t>
            </w:r>
          </w:p>
        </w:tc>
      </w:tr>
      <w:tr w:rsidR="00E16BEE">
        <w:trPr>
          <w:trHeight w:val="2132"/>
        </w:trPr>
        <w:tc>
          <w:tcPr>
            <w:tcW w:w="881" w:type="dxa"/>
            <w:vMerge/>
            <w:vAlign w:val="center"/>
          </w:tcPr>
          <w:p w:rsidR="00E16BEE" w:rsidRDefault="00E16BEE">
            <w:pPr>
              <w:jc w:val="center"/>
              <w:rPr>
                <w:rFonts w:ascii="仿宋_GB2312" w:hAnsi="仿宋" w:cs="仿宋"/>
                <w:sz w:val="21"/>
                <w:szCs w:val="21"/>
              </w:rPr>
            </w:pPr>
          </w:p>
        </w:tc>
        <w:tc>
          <w:tcPr>
            <w:tcW w:w="938"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普通仓库</w:t>
            </w:r>
          </w:p>
        </w:tc>
        <w:tc>
          <w:tcPr>
            <w:tcW w:w="762" w:type="dxa"/>
            <w:vMerge/>
            <w:vAlign w:val="center"/>
          </w:tcPr>
          <w:p w:rsidR="00E16BEE" w:rsidRDefault="00E16BEE">
            <w:pPr>
              <w:jc w:val="center"/>
              <w:rPr>
                <w:rFonts w:ascii="仿宋_GB2312" w:hAnsi="仿宋" w:cs="仿宋"/>
                <w:sz w:val="21"/>
                <w:szCs w:val="21"/>
              </w:rPr>
            </w:pPr>
          </w:p>
        </w:tc>
        <w:tc>
          <w:tcPr>
            <w:tcW w:w="775" w:type="dxa"/>
            <w:vMerge/>
            <w:vAlign w:val="center"/>
          </w:tcPr>
          <w:p w:rsidR="00E16BEE" w:rsidRDefault="00E16BEE">
            <w:pPr>
              <w:jc w:val="center"/>
              <w:rPr>
                <w:rFonts w:ascii="仿宋_GB2312" w:hAnsi="仿宋" w:cs="仿宋"/>
                <w:sz w:val="21"/>
                <w:szCs w:val="21"/>
              </w:rPr>
            </w:pPr>
          </w:p>
        </w:tc>
        <w:tc>
          <w:tcPr>
            <w:tcW w:w="4213" w:type="dxa"/>
            <w:vMerge/>
            <w:vAlign w:val="center"/>
          </w:tcPr>
          <w:p w:rsidR="00E16BEE" w:rsidRDefault="00E16BEE">
            <w:pPr>
              <w:jc w:val="center"/>
              <w:rPr>
                <w:rFonts w:ascii="仿宋_GB2312" w:hAnsi="仿宋" w:cs="仿宋"/>
                <w:sz w:val="21"/>
                <w:szCs w:val="21"/>
              </w:rPr>
            </w:pPr>
          </w:p>
        </w:tc>
        <w:tc>
          <w:tcPr>
            <w:tcW w:w="1950"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不存放易燃、易爆、有毒、有害物品或危险品；不涉及生态环境影响的仓库。</w:t>
            </w:r>
          </w:p>
        </w:tc>
        <w:tc>
          <w:tcPr>
            <w:tcW w:w="1750" w:type="dxa"/>
            <w:vMerge/>
            <w:vAlign w:val="center"/>
          </w:tcPr>
          <w:p w:rsidR="00E16BEE" w:rsidRDefault="00E16BEE">
            <w:pPr>
              <w:jc w:val="center"/>
              <w:rPr>
                <w:rFonts w:ascii="仿宋_GB2312" w:hAnsi="仿宋" w:cs="仿宋"/>
                <w:sz w:val="21"/>
                <w:szCs w:val="21"/>
              </w:rPr>
            </w:pPr>
          </w:p>
        </w:tc>
        <w:tc>
          <w:tcPr>
            <w:tcW w:w="2612"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非人员密集场所</w:t>
            </w:r>
          </w:p>
        </w:tc>
      </w:tr>
      <w:tr w:rsidR="00E16BEE">
        <w:trPr>
          <w:trHeight w:val="2124"/>
        </w:trPr>
        <w:tc>
          <w:tcPr>
            <w:tcW w:w="881" w:type="dxa"/>
            <w:vMerge/>
            <w:vAlign w:val="center"/>
          </w:tcPr>
          <w:p w:rsidR="00E16BEE" w:rsidRDefault="00E16BEE">
            <w:pPr>
              <w:jc w:val="center"/>
              <w:rPr>
                <w:rFonts w:ascii="仿宋_GB2312" w:hAnsi="仿宋" w:cs="仿宋"/>
                <w:sz w:val="21"/>
                <w:szCs w:val="21"/>
              </w:rPr>
            </w:pPr>
          </w:p>
        </w:tc>
        <w:tc>
          <w:tcPr>
            <w:tcW w:w="938"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配套办公建筑</w:t>
            </w:r>
          </w:p>
        </w:tc>
        <w:tc>
          <w:tcPr>
            <w:tcW w:w="762" w:type="dxa"/>
            <w:vMerge/>
            <w:vAlign w:val="center"/>
          </w:tcPr>
          <w:p w:rsidR="00E16BEE" w:rsidRDefault="00E16BEE">
            <w:pPr>
              <w:jc w:val="center"/>
              <w:rPr>
                <w:rFonts w:ascii="仿宋_GB2312" w:hAnsi="仿宋" w:cs="仿宋"/>
                <w:sz w:val="21"/>
                <w:szCs w:val="21"/>
              </w:rPr>
            </w:pPr>
          </w:p>
        </w:tc>
        <w:tc>
          <w:tcPr>
            <w:tcW w:w="775" w:type="dxa"/>
            <w:vMerge/>
            <w:vAlign w:val="center"/>
          </w:tcPr>
          <w:p w:rsidR="00E16BEE" w:rsidRDefault="00E16BEE">
            <w:pPr>
              <w:jc w:val="center"/>
              <w:rPr>
                <w:rFonts w:ascii="仿宋_GB2312" w:hAnsi="仿宋" w:cs="仿宋"/>
                <w:sz w:val="21"/>
                <w:szCs w:val="21"/>
              </w:rPr>
            </w:pPr>
          </w:p>
        </w:tc>
        <w:tc>
          <w:tcPr>
            <w:tcW w:w="4213" w:type="dxa"/>
            <w:vMerge/>
            <w:vAlign w:val="center"/>
          </w:tcPr>
          <w:p w:rsidR="00E16BEE" w:rsidRDefault="00E16BEE">
            <w:pPr>
              <w:jc w:val="left"/>
              <w:rPr>
                <w:rFonts w:ascii="仿宋_GB2312" w:hAnsi="仿宋" w:cs="仿宋"/>
                <w:sz w:val="21"/>
                <w:szCs w:val="21"/>
              </w:rPr>
            </w:pPr>
          </w:p>
        </w:tc>
        <w:tc>
          <w:tcPr>
            <w:tcW w:w="195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未设置化学或生物实验室的办公楼,不包括国家机关办公楼、电力调度楼、电信楼、邮政楼、防灾指挥度楼、广播电视楼、档案楼。</w:t>
            </w:r>
          </w:p>
          <w:p w:rsidR="00E16BEE" w:rsidRDefault="00E16BEE">
            <w:pPr>
              <w:jc w:val="left"/>
              <w:rPr>
                <w:rFonts w:ascii="仿宋_GB2312" w:hAnsi="仿宋" w:cs="仿宋"/>
                <w:sz w:val="21"/>
                <w:szCs w:val="21"/>
              </w:rPr>
            </w:pPr>
          </w:p>
        </w:tc>
        <w:tc>
          <w:tcPr>
            <w:tcW w:w="1750" w:type="dxa"/>
            <w:vMerge/>
            <w:vAlign w:val="center"/>
          </w:tcPr>
          <w:p w:rsidR="00E16BEE" w:rsidRDefault="00E16BEE">
            <w:pPr>
              <w:jc w:val="center"/>
              <w:rPr>
                <w:rFonts w:ascii="仿宋_GB2312" w:hAnsi="仿宋" w:cs="仿宋"/>
                <w:sz w:val="21"/>
                <w:szCs w:val="21"/>
              </w:rPr>
            </w:pPr>
          </w:p>
        </w:tc>
        <w:tc>
          <w:tcPr>
            <w:tcW w:w="2612"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配套办公建筑总建筑面积不大于2500平方米。</w:t>
            </w:r>
          </w:p>
        </w:tc>
      </w:tr>
    </w:tbl>
    <w:p w:rsidR="00E16BEE" w:rsidRDefault="00E16BEE">
      <w:pPr>
        <w:tabs>
          <w:tab w:val="left" w:pos="486"/>
        </w:tabs>
        <w:jc w:val="left"/>
        <w:rPr>
          <w:rFonts w:ascii="仿宋_GB2312" w:hAnsi="仿宋" w:cs="仿宋"/>
          <w:sz w:val="21"/>
          <w:szCs w:val="21"/>
        </w:rPr>
        <w:sectPr w:rsidR="00E16BEE">
          <w:footerReference w:type="even" r:id="rId8"/>
          <w:footerReference w:type="default" r:id="rId9"/>
          <w:pgSz w:w="16838" w:h="11906" w:orient="landscape"/>
          <w:pgMar w:top="1800" w:right="1440" w:bottom="1800" w:left="1440" w:header="720" w:footer="720" w:gutter="0"/>
          <w:cols w:space="0"/>
          <w:docGrid w:type="lines" w:linePitch="312"/>
        </w:sectPr>
      </w:pPr>
    </w:p>
    <w:tbl>
      <w:tblPr>
        <w:tblStyle w:val="a8"/>
        <w:tblW w:w="0" w:type="auto"/>
        <w:tblLayout w:type="fixed"/>
        <w:tblLook w:val="04A0"/>
      </w:tblPr>
      <w:tblGrid>
        <w:gridCol w:w="881"/>
        <w:gridCol w:w="938"/>
        <w:gridCol w:w="762"/>
        <w:gridCol w:w="775"/>
        <w:gridCol w:w="4213"/>
        <w:gridCol w:w="1950"/>
        <w:gridCol w:w="1750"/>
        <w:gridCol w:w="2612"/>
      </w:tblGrid>
      <w:tr w:rsidR="00E16BEE">
        <w:trPr>
          <w:trHeight w:val="3089"/>
        </w:trPr>
        <w:tc>
          <w:tcPr>
            <w:tcW w:w="881" w:type="dxa"/>
            <w:vMerge w:val="restart"/>
            <w:vAlign w:val="center"/>
          </w:tcPr>
          <w:p w:rsidR="00E16BEE" w:rsidRDefault="00F038F0">
            <w:pPr>
              <w:tabs>
                <w:tab w:val="left" w:pos="486"/>
              </w:tabs>
              <w:jc w:val="left"/>
              <w:rPr>
                <w:rFonts w:ascii="仿宋_GB2312" w:hAnsi="仿宋" w:cs="仿宋"/>
                <w:sz w:val="21"/>
                <w:szCs w:val="21"/>
              </w:rPr>
            </w:pPr>
            <w:r>
              <w:rPr>
                <w:rFonts w:ascii="仿宋_GB2312" w:hAnsi="仿宋" w:cs="仿宋" w:hint="eastAsia"/>
                <w:sz w:val="21"/>
                <w:szCs w:val="21"/>
              </w:rPr>
              <w:lastRenderedPageBreak/>
              <w:tab/>
              <w:t>公共建筑</w:t>
            </w:r>
          </w:p>
        </w:tc>
        <w:tc>
          <w:tcPr>
            <w:tcW w:w="938"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商业建筑</w:t>
            </w:r>
          </w:p>
        </w:tc>
        <w:tc>
          <w:tcPr>
            <w:tcW w:w="762" w:type="dxa"/>
            <w:vMerge w:val="restart"/>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总建筑面积不大于5000平方米</w:t>
            </w:r>
          </w:p>
        </w:tc>
        <w:tc>
          <w:tcPr>
            <w:tcW w:w="775" w:type="dxa"/>
            <w:vMerge w:val="restart"/>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建筑高度不大于24米</w:t>
            </w:r>
          </w:p>
        </w:tc>
        <w:tc>
          <w:tcPr>
            <w:tcW w:w="4213" w:type="dxa"/>
            <w:vMerge w:val="restart"/>
            <w:vAlign w:val="center"/>
          </w:tcPr>
          <w:p w:rsidR="00E16BEE" w:rsidRDefault="00F038F0">
            <w:pPr>
              <w:jc w:val="left"/>
              <w:rPr>
                <w:rFonts w:ascii="仿宋_GB2312" w:hAnsi="仿宋" w:cs="仿宋"/>
                <w:sz w:val="21"/>
                <w:szCs w:val="21"/>
              </w:rPr>
            </w:pPr>
            <w:r>
              <w:rPr>
                <w:rFonts w:ascii="仿宋_GB2312" w:hAnsi="仿宋" w:cs="仿宋" w:hint="eastAsia"/>
                <w:sz w:val="21"/>
                <w:szCs w:val="21"/>
              </w:rPr>
              <w:t>1.无开挖深度超过3m的基坑或地下工程  2.凝土模板支撑工程搭设高度5m以下， 或搭设跨度10m 以下，或施工总荷载10kN/㎡ 以下， 或集中线荷载15kN/m 以下</w:t>
            </w:r>
          </w:p>
          <w:p w:rsidR="00E16BEE" w:rsidRDefault="00F038F0">
            <w:pPr>
              <w:jc w:val="left"/>
              <w:rPr>
                <w:rFonts w:ascii="仿宋_GB2312" w:hAnsi="仿宋" w:cs="仿宋"/>
                <w:sz w:val="21"/>
                <w:szCs w:val="21"/>
              </w:rPr>
            </w:pPr>
            <w:r>
              <w:rPr>
                <w:rFonts w:ascii="仿宋_GB2312" w:hAnsi="仿宋" w:cs="仿宋" w:hint="eastAsia"/>
                <w:sz w:val="21"/>
                <w:szCs w:val="21"/>
              </w:rPr>
              <w:t>3.无附着式升降脚手架、悬挑式脚手架工程</w:t>
            </w:r>
          </w:p>
          <w:p w:rsidR="00E16BEE" w:rsidRDefault="00F038F0">
            <w:pPr>
              <w:jc w:val="left"/>
              <w:rPr>
                <w:rFonts w:ascii="仿宋_GB2312" w:hAnsi="仿宋" w:cs="仿宋"/>
                <w:sz w:val="21"/>
                <w:szCs w:val="21"/>
              </w:rPr>
            </w:pPr>
            <w:r>
              <w:rPr>
                <w:rFonts w:ascii="仿宋_GB2312" w:hAnsi="仿宋" w:cs="仿宋" w:hint="eastAsia"/>
                <w:sz w:val="21"/>
                <w:szCs w:val="21"/>
              </w:rPr>
              <w:t>4.非常规起重且单件起吊重量10kN以下</w:t>
            </w:r>
          </w:p>
          <w:p w:rsidR="00E16BEE" w:rsidRDefault="00F038F0">
            <w:pPr>
              <w:jc w:val="left"/>
              <w:rPr>
                <w:rFonts w:ascii="仿宋_GB2312" w:hAnsi="仿宋" w:cs="仿宋"/>
                <w:sz w:val="21"/>
                <w:szCs w:val="21"/>
              </w:rPr>
            </w:pPr>
            <w:r>
              <w:rPr>
                <w:rFonts w:ascii="仿宋_GB2312" w:hAnsi="仿宋" w:cs="仿宋" w:hint="eastAsia"/>
                <w:sz w:val="21"/>
                <w:szCs w:val="21"/>
              </w:rPr>
              <w:t>5.无钢结构工程</w:t>
            </w:r>
          </w:p>
        </w:tc>
        <w:tc>
          <w:tcPr>
            <w:tcW w:w="195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不销售易燃、易爆、有毒、有害物品，且不产生油烟、异味；且总建筑面积不大于1000 平方米的室内儿童活动场所的商场。</w:t>
            </w:r>
          </w:p>
        </w:tc>
        <w:tc>
          <w:tcPr>
            <w:tcW w:w="1750" w:type="dxa"/>
            <w:vMerge w:val="restart"/>
            <w:vAlign w:val="center"/>
          </w:tcPr>
          <w:p w:rsidR="00E16BEE" w:rsidRDefault="00F038F0">
            <w:pPr>
              <w:jc w:val="left"/>
              <w:rPr>
                <w:rFonts w:ascii="仿宋_GB2312" w:hAnsi="仿宋" w:cs="仿宋"/>
                <w:sz w:val="21"/>
                <w:szCs w:val="21"/>
              </w:rPr>
            </w:pPr>
            <w:r>
              <w:rPr>
                <w:rFonts w:ascii="仿宋_GB2312" w:hAnsi="仿宋" w:cs="仿宋" w:hint="eastAsia"/>
                <w:sz w:val="21"/>
                <w:szCs w:val="21"/>
              </w:rPr>
              <w:t>周边无人员密集的建筑（大型公交枢纽、 儿童活动场 所、老年 人照料设施、学校），周边无人员密集的公 共空间，周边无林地、化工厂、加油站、甲乙丙类液体和可燃气体储罐等建构筑物。</w:t>
            </w:r>
          </w:p>
          <w:p w:rsidR="00E16BEE" w:rsidRDefault="00E16BEE">
            <w:pPr>
              <w:jc w:val="center"/>
              <w:rPr>
                <w:rFonts w:ascii="仿宋_GB2312" w:hAnsi="仿宋" w:cs="仿宋"/>
                <w:sz w:val="21"/>
                <w:szCs w:val="21"/>
              </w:rPr>
            </w:pPr>
          </w:p>
        </w:tc>
        <w:tc>
          <w:tcPr>
            <w:tcW w:w="2612"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歌舞厅、录像厅、放映厅、卡拉OK厅、 夜总会、游艺厅、桑拿浴室、网吧、酒吧， 具有娱乐功能的餐馆、茶馆、咖啡厅等建 筑总面积不大于500平方米。</w:t>
            </w:r>
          </w:p>
        </w:tc>
      </w:tr>
      <w:tr w:rsidR="00E16BEE">
        <w:tc>
          <w:tcPr>
            <w:tcW w:w="881" w:type="dxa"/>
            <w:vMerge/>
            <w:vAlign w:val="center"/>
          </w:tcPr>
          <w:p w:rsidR="00E16BEE" w:rsidRDefault="00E16BEE">
            <w:pPr>
              <w:jc w:val="center"/>
              <w:rPr>
                <w:rFonts w:ascii="仿宋_GB2312" w:hAnsi="仿宋" w:cs="仿宋"/>
                <w:sz w:val="21"/>
                <w:szCs w:val="21"/>
              </w:rPr>
            </w:pPr>
          </w:p>
        </w:tc>
        <w:tc>
          <w:tcPr>
            <w:tcW w:w="938"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公共服务设施</w:t>
            </w:r>
          </w:p>
        </w:tc>
        <w:tc>
          <w:tcPr>
            <w:tcW w:w="762" w:type="dxa"/>
            <w:vMerge/>
            <w:vAlign w:val="center"/>
          </w:tcPr>
          <w:p w:rsidR="00E16BEE" w:rsidRDefault="00E16BEE">
            <w:pPr>
              <w:jc w:val="center"/>
              <w:rPr>
                <w:rFonts w:ascii="仿宋_GB2312" w:hAnsi="仿宋" w:cs="仿宋"/>
                <w:sz w:val="21"/>
                <w:szCs w:val="21"/>
              </w:rPr>
            </w:pPr>
          </w:p>
        </w:tc>
        <w:tc>
          <w:tcPr>
            <w:tcW w:w="775" w:type="dxa"/>
            <w:vMerge/>
            <w:vAlign w:val="center"/>
          </w:tcPr>
          <w:p w:rsidR="00E16BEE" w:rsidRDefault="00E16BEE">
            <w:pPr>
              <w:jc w:val="center"/>
              <w:rPr>
                <w:rFonts w:ascii="仿宋_GB2312" w:hAnsi="仿宋" w:cs="仿宋"/>
                <w:sz w:val="21"/>
                <w:szCs w:val="21"/>
              </w:rPr>
            </w:pPr>
          </w:p>
        </w:tc>
        <w:tc>
          <w:tcPr>
            <w:tcW w:w="4213" w:type="dxa"/>
            <w:vMerge/>
            <w:vAlign w:val="center"/>
          </w:tcPr>
          <w:p w:rsidR="00E16BEE" w:rsidRDefault="00E16BEE">
            <w:pPr>
              <w:jc w:val="left"/>
              <w:rPr>
                <w:rFonts w:ascii="仿宋_GB2312" w:hAnsi="仿宋" w:cs="仿宋"/>
                <w:sz w:val="21"/>
                <w:szCs w:val="21"/>
              </w:rPr>
            </w:pPr>
          </w:p>
        </w:tc>
        <w:tc>
          <w:tcPr>
            <w:tcW w:w="1950"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未设置化学生物实验室；不涉及生态环境影响。</w:t>
            </w:r>
          </w:p>
        </w:tc>
        <w:tc>
          <w:tcPr>
            <w:tcW w:w="1750" w:type="dxa"/>
            <w:vMerge/>
            <w:vAlign w:val="center"/>
          </w:tcPr>
          <w:p w:rsidR="00E16BEE" w:rsidRDefault="00E16BEE">
            <w:pPr>
              <w:jc w:val="center"/>
              <w:rPr>
                <w:rFonts w:ascii="仿宋_GB2312" w:hAnsi="仿宋" w:cs="仿宋"/>
                <w:sz w:val="21"/>
                <w:szCs w:val="21"/>
              </w:rPr>
            </w:pPr>
          </w:p>
        </w:tc>
        <w:tc>
          <w:tcPr>
            <w:tcW w:w="2612" w:type="dxa"/>
            <w:vAlign w:val="center"/>
          </w:tcPr>
          <w:p w:rsidR="00E16BEE" w:rsidRDefault="00F038F0">
            <w:pPr>
              <w:jc w:val="center"/>
              <w:rPr>
                <w:rFonts w:ascii="仿宋_GB2312" w:hAnsi="仿宋" w:cs="仿宋"/>
                <w:sz w:val="21"/>
                <w:szCs w:val="21"/>
              </w:rPr>
            </w:pPr>
            <w:r>
              <w:rPr>
                <w:rFonts w:ascii="仿宋_GB2312" w:hAnsi="仿宋" w:cs="仿宋" w:hint="eastAsia"/>
                <w:sz w:val="21"/>
                <w:szCs w:val="21"/>
              </w:rPr>
              <w:t>影剧院、公共图书馆的阅览室、营业性室内健身、休闲场馆、医院的门诊楼、大学教学楼、图书馆、食堂、寺庙、教堂等建筑总面积不大于2500平方米；托儿所、幼儿园的儿童用房、儿童游乐厅等室内儿童活动场所、养老院、福利院、医院、疗养院的病房楼，中小学校的教学楼、图书馆、食堂、学校的集体宿舍、劳动密集型企业的员工集体宿舍等建筑总面积不大于1000平方米。</w:t>
            </w:r>
          </w:p>
        </w:tc>
      </w:tr>
    </w:tbl>
    <w:p w:rsidR="00E16BEE" w:rsidRDefault="00E16BEE">
      <w:pPr>
        <w:jc w:val="center"/>
        <w:rPr>
          <w:rFonts w:ascii="仿宋_GB2312" w:hAnsi="仿宋" w:cs="仿宋"/>
          <w:sz w:val="21"/>
          <w:szCs w:val="21"/>
        </w:rPr>
      </w:pPr>
    </w:p>
    <w:p w:rsidR="00E16BEE" w:rsidRDefault="00E16BEE" w:rsidP="00863B34">
      <w:pPr>
        <w:rPr>
          <w:rFonts w:ascii="仿宋_GB2312" w:hAnsi="仿宋" w:cs="仿宋"/>
          <w:sz w:val="21"/>
          <w:szCs w:val="21"/>
        </w:rPr>
        <w:sectPr w:rsidR="00E16BEE">
          <w:footerReference w:type="even" r:id="rId10"/>
          <w:footerReference w:type="default" r:id="rId11"/>
          <w:pgSz w:w="16838" w:h="11906" w:orient="landscape"/>
          <w:pgMar w:top="1800" w:right="1440" w:bottom="1800" w:left="1440" w:header="720" w:footer="720" w:gutter="0"/>
          <w:cols w:space="0"/>
          <w:docGrid w:type="lines" w:linePitch="312"/>
        </w:sectPr>
      </w:pPr>
    </w:p>
    <w:p w:rsidR="00E16BEE" w:rsidRDefault="00F038F0">
      <w:pPr>
        <w:jc w:val="left"/>
        <w:rPr>
          <w:rFonts w:ascii="仿宋_GB2312" w:hAnsi="仿宋" w:cs="仿宋"/>
          <w:sz w:val="21"/>
          <w:szCs w:val="21"/>
        </w:rPr>
      </w:pPr>
      <w:r>
        <w:rPr>
          <w:rFonts w:ascii="仿宋_GB2312" w:hAnsi="仿宋" w:cs="仿宋" w:hint="eastAsia"/>
          <w:sz w:val="21"/>
          <w:szCs w:val="21"/>
        </w:rPr>
        <w:lastRenderedPageBreak/>
        <w:t>附件2：                               简易低风险工程建设项目申报表                 编号：</w:t>
      </w:r>
    </w:p>
    <w:tbl>
      <w:tblPr>
        <w:tblStyle w:val="a8"/>
        <w:tblW w:w="10706" w:type="dxa"/>
        <w:tblInd w:w="108" w:type="dxa"/>
        <w:tblLook w:val="04A0"/>
      </w:tblPr>
      <w:tblGrid>
        <w:gridCol w:w="1196"/>
        <w:gridCol w:w="1560"/>
        <w:gridCol w:w="680"/>
        <w:gridCol w:w="925"/>
        <w:gridCol w:w="1725"/>
        <w:gridCol w:w="1138"/>
        <w:gridCol w:w="572"/>
        <w:gridCol w:w="2910"/>
      </w:tblGrid>
      <w:tr w:rsidR="00E16BEE">
        <w:trPr>
          <w:trHeight w:val="387"/>
        </w:trPr>
        <w:tc>
          <w:tcPr>
            <w:tcW w:w="10706" w:type="dxa"/>
            <w:gridSpan w:val="8"/>
            <w:vAlign w:val="center"/>
          </w:tcPr>
          <w:p w:rsidR="00E16BEE" w:rsidRDefault="00F038F0">
            <w:pPr>
              <w:jc w:val="left"/>
              <w:rPr>
                <w:rFonts w:ascii="仿宋_GB2312" w:hAnsi="仿宋" w:cs="仿宋"/>
                <w:sz w:val="21"/>
                <w:szCs w:val="21"/>
              </w:rPr>
            </w:pPr>
            <w:r>
              <w:rPr>
                <w:rFonts w:ascii="仿宋_GB2312" w:hAnsi="仿宋" w:cs="仿宋" w:hint="eastAsia"/>
                <w:sz w:val="21"/>
                <w:szCs w:val="21"/>
              </w:rPr>
              <w:t>项目名称及地址</w:t>
            </w:r>
          </w:p>
        </w:tc>
      </w:tr>
      <w:tr w:rsidR="00E16BEE">
        <w:trPr>
          <w:trHeight w:val="349"/>
        </w:trPr>
        <w:tc>
          <w:tcPr>
            <w:tcW w:w="1196"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建筑分类</w:t>
            </w:r>
          </w:p>
        </w:tc>
        <w:tc>
          <w:tcPr>
            <w:tcW w:w="4890" w:type="dxa"/>
            <w:gridSpan w:val="4"/>
            <w:vAlign w:val="center"/>
          </w:tcPr>
          <w:p w:rsidR="00E16BEE" w:rsidRDefault="00F038F0">
            <w:pPr>
              <w:jc w:val="left"/>
              <w:rPr>
                <w:rFonts w:ascii="仿宋_GB2312" w:hAnsi="仿宋" w:cs="仿宋"/>
                <w:sz w:val="21"/>
                <w:szCs w:val="21"/>
              </w:rPr>
            </w:pPr>
            <w:r>
              <w:rPr>
                <w:rFonts w:ascii="仿宋_GB2312" w:hAnsi="仿宋" w:cs="仿宋" w:hint="eastAsia"/>
                <w:sz w:val="21"/>
                <w:szCs w:val="21"/>
              </w:rPr>
              <w:t>□工业建筑</w:t>
            </w:r>
          </w:p>
        </w:tc>
        <w:tc>
          <w:tcPr>
            <w:tcW w:w="4620" w:type="dxa"/>
            <w:gridSpan w:val="3"/>
            <w:vAlign w:val="center"/>
          </w:tcPr>
          <w:p w:rsidR="00E16BEE" w:rsidRDefault="00F038F0">
            <w:pPr>
              <w:jc w:val="left"/>
              <w:rPr>
                <w:rFonts w:ascii="仿宋_GB2312" w:hAnsi="仿宋" w:cs="仿宋"/>
                <w:sz w:val="21"/>
                <w:szCs w:val="21"/>
              </w:rPr>
            </w:pPr>
            <w:r>
              <w:rPr>
                <w:rFonts w:ascii="仿宋_GB2312" w:hAnsi="仿宋" w:cs="仿宋" w:hint="eastAsia"/>
                <w:sz w:val="21"/>
                <w:szCs w:val="21"/>
              </w:rPr>
              <w:t>□公共建筑</w:t>
            </w:r>
          </w:p>
        </w:tc>
      </w:tr>
      <w:tr w:rsidR="00E16BEE">
        <w:trPr>
          <w:trHeight w:val="409"/>
        </w:trPr>
        <w:tc>
          <w:tcPr>
            <w:tcW w:w="1196"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建筑性质</w:t>
            </w:r>
          </w:p>
        </w:tc>
        <w:tc>
          <w:tcPr>
            <w:tcW w:w="156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 xml:space="preserve">□标准厂房     </w:t>
            </w:r>
          </w:p>
        </w:tc>
        <w:tc>
          <w:tcPr>
            <w:tcW w:w="1605" w:type="dxa"/>
            <w:gridSpan w:val="2"/>
            <w:vAlign w:val="center"/>
          </w:tcPr>
          <w:p w:rsidR="00E16BEE" w:rsidRDefault="00F038F0">
            <w:pPr>
              <w:jc w:val="left"/>
              <w:rPr>
                <w:rFonts w:ascii="仿宋_GB2312" w:hAnsi="仿宋" w:cs="仿宋"/>
                <w:sz w:val="21"/>
                <w:szCs w:val="21"/>
              </w:rPr>
            </w:pPr>
            <w:r>
              <w:rPr>
                <w:rFonts w:ascii="仿宋_GB2312" w:hAnsi="仿宋" w:cs="仿宋" w:hint="eastAsia"/>
                <w:sz w:val="21"/>
                <w:szCs w:val="21"/>
              </w:rPr>
              <w:t>□普通仓库</w:t>
            </w:r>
          </w:p>
        </w:tc>
        <w:tc>
          <w:tcPr>
            <w:tcW w:w="1725"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□配套办公建筑</w:t>
            </w:r>
          </w:p>
        </w:tc>
        <w:tc>
          <w:tcPr>
            <w:tcW w:w="1710" w:type="dxa"/>
            <w:gridSpan w:val="2"/>
            <w:vAlign w:val="center"/>
          </w:tcPr>
          <w:p w:rsidR="00E16BEE" w:rsidRDefault="00F038F0">
            <w:pPr>
              <w:jc w:val="left"/>
              <w:rPr>
                <w:rFonts w:ascii="仿宋_GB2312" w:hAnsi="仿宋" w:cs="仿宋"/>
                <w:sz w:val="21"/>
                <w:szCs w:val="21"/>
              </w:rPr>
            </w:pPr>
            <w:r>
              <w:rPr>
                <w:rFonts w:ascii="仿宋_GB2312" w:hAnsi="仿宋" w:cs="仿宋" w:hint="eastAsia"/>
                <w:sz w:val="21"/>
                <w:szCs w:val="21"/>
              </w:rPr>
              <w:t xml:space="preserve">□商业建筑  </w:t>
            </w:r>
          </w:p>
        </w:tc>
        <w:tc>
          <w:tcPr>
            <w:tcW w:w="291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□公共服务设施</w:t>
            </w:r>
          </w:p>
        </w:tc>
      </w:tr>
      <w:tr w:rsidR="00E16BEE">
        <w:trPr>
          <w:trHeight w:val="2473"/>
        </w:trPr>
        <w:tc>
          <w:tcPr>
            <w:tcW w:w="1196"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预期用途</w:t>
            </w:r>
          </w:p>
        </w:tc>
        <w:tc>
          <w:tcPr>
            <w:tcW w:w="156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□火灾危害性为丙、丁、戊类的厂房；不生产有毒、有害物品或危险品；不涉及生态环境影响的厂房</w:t>
            </w:r>
          </w:p>
        </w:tc>
        <w:tc>
          <w:tcPr>
            <w:tcW w:w="1605" w:type="dxa"/>
            <w:gridSpan w:val="2"/>
            <w:vAlign w:val="center"/>
          </w:tcPr>
          <w:p w:rsidR="00E16BEE" w:rsidRDefault="00F038F0">
            <w:pPr>
              <w:jc w:val="left"/>
              <w:rPr>
                <w:rFonts w:ascii="仿宋_GB2312" w:hAnsi="仿宋" w:cs="仿宋"/>
                <w:sz w:val="21"/>
                <w:szCs w:val="21"/>
              </w:rPr>
            </w:pPr>
            <w:r>
              <w:rPr>
                <w:rFonts w:ascii="仿宋_GB2312" w:hAnsi="仿宋" w:cs="仿宋" w:hint="eastAsia"/>
                <w:sz w:val="21"/>
                <w:szCs w:val="21"/>
              </w:rPr>
              <w:t>□火灾危害性为丙、丁、戊类的仓库；不生产有毒、有害物品或危险品；不涉及生态环境影响的仓库</w:t>
            </w:r>
          </w:p>
        </w:tc>
        <w:tc>
          <w:tcPr>
            <w:tcW w:w="1725"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□未设置化学或生物实验室的办公楼；非国家机关办公楼、电力调度楼、电信楼、邮政楼、防灾指挥度楼、广播电视楼、档案楼</w:t>
            </w:r>
          </w:p>
        </w:tc>
        <w:tc>
          <w:tcPr>
            <w:tcW w:w="1710" w:type="dxa"/>
            <w:gridSpan w:val="2"/>
            <w:vAlign w:val="center"/>
          </w:tcPr>
          <w:p w:rsidR="00E16BEE" w:rsidRDefault="00F038F0">
            <w:pPr>
              <w:jc w:val="left"/>
              <w:rPr>
                <w:rFonts w:ascii="仿宋_GB2312" w:hAnsi="仿宋" w:cs="仿宋"/>
                <w:sz w:val="21"/>
                <w:szCs w:val="21"/>
              </w:rPr>
            </w:pPr>
            <w:r>
              <w:rPr>
                <w:rFonts w:ascii="仿宋_GB2312" w:hAnsi="仿宋" w:cs="仿宋" w:hint="eastAsia"/>
                <w:sz w:val="21"/>
                <w:szCs w:val="21"/>
              </w:rPr>
              <w:t>□不销售易燃、易爆、有毒、有害物品，且不产生油烟、异味；且总建筑面积不大于1000 平方米的室内儿童活动场所的商场</w:t>
            </w:r>
          </w:p>
        </w:tc>
        <w:tc>
          <w:tcPr>
            <w:tcW w:w="291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□未设置化学生物实验室</w:t>
            </w:r>
          </w:p>
          <w:p w:rsidR="00E16BEE" w:rsidRDefault="00F038F0">
            <w:pPr>
              <w:jc w:val="left"/>
              <w:rPr>
                <w:rFonts w:ascii="仿宋_GB2312" w:hAnsi="仿宋" w:cs="仿宋"/>
                <w:sz w:val="21"/>
                <w:szCs w:val="21"/>
              </w:rPr>
            </w:pPr>
            <w:r>
              <w:rPr>
                <w:rFonts w:ascii="仿宋_GB2312" w:hAnsi="仿宋" w:cs="仿宋" w:hint="eastAsia"/>
                <w:sz w:val="21"/>
                <w:szCs w:val="21"/>
              </w:rPr>
              <w:t>□不涉及生态环境影响</w:t>
            </w:r>
          </w:p>
        </w:tc>
      </w:tr>
      <w:tr w:rsidR="00E16BEE">
        <w:trPr>
          <w:trHeight w:val="4409"/>
        </w:trPr>
        <w:tc>
          <w:tcPr>
            <w:tcW w:w="1196"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人员密集情况</w:t>
            </w:r>
          </w:p>
        </w:tc>
        <w:tc>
          <w:tcPr>
            <w:tcW w:w="156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□劳动密集型企业的生产加工车间等建筑总建筑面积不大于2500平方米</w:t>
            </w:r>
          </w:p>
        </w:tc>
        <w:tc>
          <w:tcPr>
            <w:tcW w:w="1605" w:type="dxa"/>
            <w:gridSpan w:val="2"/>
            <w:vAlign w:val="center"/>
          </w:tcPr>
          <w:p w:rsidR="00E16BEE" w:rsidRDefault="00F038F0">
            <w:pPr>
              <w:jc w:val="left"/>
              <w:rPr>
                <w:rFonts w:ascii="仿宋_GB2312" w:hAnsi="仿宋" w:cs="仿宋"/>
                <w:sz w:val="21"/>
                <w:szCs w:val="21"/>
              </w:rPr>
            </w:pPr>
            <w:r>
              <w:rPr>
                <w:rFonts w:ascii="仿宋_GB2312" w:hAnsi="仿宋" w:cs="仿宋" w:hint="eastAsia"/>
                <w:sz w:val="21"/>
                <w:szCs w:val="21"/>
              </w:rPr>
              <w:t>□非人员密集场所</w:t>
            </w:r>
          </w:p>
        </w:tc>
        <w:tc>
          <w:tcPr>
            <w:tcW w:w="1725"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□配套办公建筑总建筑面积不大于2500平方米</w:t>
            </w:r>
          </w:p>
        </w:tc>
        <w:tc>
          <w:tcPr>
            <w:tcW w:w="1710" w:type="dxa"/>
            <w:gridSpan w:val="2"/>
            <w:vAlign w:val="center"/>
          </w:tcPr>
          <w:p w:rsidR="00E16BEE" w:rsidRDefault="00F038F0">
            <w:pPr>
              <w:jc w:val="left"/>
              <w:rPr>
                <w:rFonts w:ascii="仿宋_GB2312" w:hAnsi="仿宋" w:cs="仿宋"/>
                <w:sz w:val="21"/>
                <w:szCs w:val="21"/>
              </w:rPr>
            </w:pPr>
            <w:r>
              <w:rPr>
                <w:rFonts w:ascii="仿宋_GB2312" w:hAnsi="仿宋" w:cs="仿宋" w:hint="eastAsia"/>
                <w:sz w:val="21"/>
                <w:szCs w:val="21"/>
              </w:rPr>
              <w:t>□歌舞厅、录像厅、放映厅、卡拉OK厅、 夜总会、游艺厅、桑拿浴室、网吧、酒吧， 具有娱乐功能的餐馆、茶馆、咖啡厅等建筑总面积不大于500平方米</w:t>
            </w:r>
          </w:p>
        </w:tc>
        <w:tc>
          <w:tcPr>
            <w:tcW w:w="2910"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□影剧院、公共图书馆的阅览室、营业性室内健身、休闲场馆、医院的门诊楼、大学教学楼、图书馆、食堂、寺庙、教堂等建筑总面积不大于2500平方米</w:t>
            </w:r>
          </w:p>
          <w:p w:rsidR="00E16BEE" w:rsidRDefault="00F038F0">
            <w:pPr>
              <w:jc w:val="left"/>
              <w:rPr>
                <w:rFonts w:ascii="仿宋_GB2312" w:hAnsi="仿宋" w:cs="仿宋"/>
                <w:sz w:val="21"/>
                <w:szCs w:val="21"/>
              </w:rPr>
            </w:pPr>
            <w:r>
              <w:rPr>
                <w:rFonts w:ascii="仿宋_GB2312" w:hAnsi="仿宋" w:cs="仿宋" w:hint="eastAsia"/>
                <w:sz w:val="21"/>
                <w:szCs w:val="21"/>
              </w:rPr>
              <w:t>□托儿所、幼儿园的儿童用房、儿童游乐厅等室内儿童活动场所、养老院、福利院、医院、疗养院的病房楼，中小学校的教学楼、图书馆、食堂、学校的集体宿舍、劳动密集型企业的员工集体宿舍等建筑总面积不大于1000平方米</w:t>
            </w:r>
          </w:p>
        </w:tc>
      </w:tr>
      <w:tr w:rsidR="00E16BEE">
        <w:trPr>
          <w:trHeight w:val="377"/>
        </w:trPr>
        <w:tc>
          <w:tcPr>
            <w:tcW w:w="1196"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建筑面积</w:t>
            </w:r>
          </w:p>
        </w:tc>
        <w:tc>
          <w:tcPr>
            <w:tcW w:w="9510" w:type="dxa"/>
            <w:gridSpan w:val="7"/>
            <w:vAlign w:val="center"/>
          </w:tcPr>
          <w:p w:rsidR="00E16BEE" w:rsidRDefault="00F038F0">
            <w:pPr>
              <w:jc w:val="left"/>
              <w:rPr>
                <w:rFonts w:ascii="仿宋_GB2312" w:hAnsi="仿宋" w:cs="仿宋"/>
                <w:sz w:val="21"/>
                <w:szCs w:val="21"/>
              </w:rPr>
            </w:pPr>
            <w:r>
              <w:rPr>
                <w:rFonts w:ascii="仿宋_GB2312" w:hAnsi="仿宋" w:cs="仿宋" w:hint="eastAsia"/>
                <w:sz w:val="21"/>
                <w:szCs w:val="21"/>
              </w:rPr>
              <w:t>□不大于5000平方米</w:t>
            </w:r>
          </w:p>
        </w:tc>
      </w:tr>
      <w:tr w:rsidR="00E16BEE">
        <w:trPr>
          <w:trHeight w:val="387"/>
        </w:trPr>
        <w:tc>
          <w:tcPr>
            <w:tcW w:w="1196"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建筑高度</w:t>
            </w:r>
          </w:p>
        </w:tc>
        <w:tc>
          <w:tcPr>
            <w:tcW w:w="9510" w:type="dxa"/>
            <w:gridSpan w:val="7"/>
            <w:vAlign w:val="center"/>
          </w:tcPr>
          <w:p w:rsidR="00E16BEE" w:rsidRDefault="00F038F0">
            <w:pPr>
              <w:jc w:val="left"/>
              <w:rPr>
                <w:rFonts w:ascii="仿宋_GB2312" w:hAnsi="仿宋" w:cs="仿宋"/>
                <w:sz w:val="21"/>
                <w:szCs w:val="21"/>
              </w:rPr>
            </w:pPr>
            <w:r>
              <w:rPr>
                <w:rFonts w:ascii="仿宋_GB2312" w:hAnsi="仿宋" w:cs="仿宋" w:hint="eastAsia"/>
                <w:sz w:val="21"/>
                <w:szCs w:val="21"/>
              </w:rPr>
              <w:t>□不大于24米</w:t>
            </w:r>
          </w:p>
        </w:tc>
      </w:tr>
      <w:tr w:rsidR="00E16BEE">
        <w:trPr>
          <w:trHeight w:val="1759"/>
        </w:trPr>
        <w:tc>
          <w:tcPr>
            <w:tcW w:w="1196"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建造技术要求</w:t>
            </w:r>
          </w:p>
        </w:tc>
        <w:tc>
          <w:tcPr>
            <w:tcW w:w="9510" w:type="dxa"/>
            <w:gridSpan w:val="7"/>
            <w:vAlign w:val="center"/>
          </w:tcPr>
          <w:p w:rsidR="00E16BEE" w:rsidRDefault="00F038F0">
            <w:pPr>
              <w:jc w:val="left"/>
              <w:rPr>
                <w:rFonts w:ascii="仿宋_GB2312" w:hAnsi="仿宋" w:cs="仿宋"/>
                <w:sz w:val="21"/>
                <w:szCs w:val="21"/>
              </w:rPr>
            </w:pPr>
            <w:r>
              <w:rPr>
                <w:rFonts w:ascii="仿宋_GB2312" w:hAnsi="仿宋" w:cs="仿宋" w:hint="eastAsia"/>
                <w:sz w:val="21"/>
                <w:szCs w:val="21"/>
              </w:rPr>
              <w:t>□无开挖深度超过3m的基坑或地下工程；</w:t>
            </w:r>
          </w:p>
          <w:p w:rsidR="00E16BEE" w:rsidRDefault="00F038F0">
            <w:pPr>
              <w:jc w:val="left"/>
              <w:rPr>
                <w:rFonts w:ascii="仿宋_GB2312" w:hAnsi="仿宋" w:cs="仿宋"/>
                <w:sz w:val="21"/>
                <w:szCs w:val="21"/>
              </w:rPr>
            </w:pPr>
            <w:r>
              <w:rPr>
                <w:rFonts w:ascii="仿宋_GB2312" w:hAnsi="仿宋" w:cs="仿宋" w:hint="eastAsia"/>
                <w:sz w:val="21"/>
                <w:szCs w:val="21"/>
              </w:rPr>
              <w:t>混凝土模板支撑工程搭设高度5m以下， 或搭设跨度10m 以下，或施工总荷载10kN/㎡ 以下， 或集中线荷载15kN/m 以下；</w:t>
            </w:r>
          </w:p>
          <w:p w:rsidR="00E16BEE" w:rsidRDefault="00F038F0">
            <w:pPr>
              <w:jc w:val="left"/>
              <w:rPr>
                <w:rFonts w:ascii="仿宋_GB2312" w:hAnsi="仿宋" w:cs="仿宋"/>
                <w:sz w:val="21"/>
                <w:szCs w:val="21"/>
              </w:rPr>
            </w:pPr>
            <w:r>
              <w:rPr>
                <w:rFonts w:ascii="仿宋_GB2312" w:hAnsi="仿宋" w:cs="仿宋" w:hint="eastAsia"/>
                <w:sz w:val="21"/>
                <w:szCs w:val="21"/>
              </w:rPr>
              <w:t>无附着式升降脚手架、悬挑式脚手架工程；</w:t>
            </w:r>
          </w:p>
          <w:p w:rsidR="00E16BEE" w:rsidRDefault="00F038F0">
            <w:pPr>
              <w:jc w:val="left"/>
              <w:rPr>
                <w:rFonts w:ascii="仿宋_GB2312" w:hAnsi="仿宋" w:cs="仿宋"/>
                <w:sz w:val="21"/>
                <w:szCs w:val="21"/>
              </w:rPr>
            </w:pPr>
            <w:r>
              <w:rPr>
                <w:rFonts w:ascii="仿宋_GB2312" w:hAnsi="仿宋" w:cs="仿宋" w:hint="eastAsia"/>
                <w:sz w:val="21"/>
                <w:szCs w:val="21"/>
              </w:rPr>
              <w:t>非常规起重且单件起吊重量10kN以下；</w:t>
            </w:r>
          </w:p>
          <w:p w:rsidR="00E16BEE" w:rsidRDefault="00F038F0">
            <w:pPr>
              <w:jc w:val="left"/>
              <w:rPr>
                <w:rFonts w:ascii="仿宋_GB2312" w:hAnsi="仿宋" w:cs="仿宋"/>
                <w:sz w:val="21"/>
                <w:szCs w:val="21"/>
              </w:rPr>
            </w:pPr>
            <w:r>
              <w:rPr>
                <w:rFonts w:ascii="仿宋_GB2312" w:hAnsi="仿宋" w:cs="仿宋" w:hint="eastAsia"/>
                <w:sz w:val="21"/>
                <w:szCs w:val="21"/>
              </w:rPr>
              <w:t>无钢结构工程。</w:t>
            </w:r>
          </w:p>
        </w:tc>
      </w:tr>
      <w:tr w:rsidR="00E16BEE">
        <w:trPr>
          <w:trHeight w:val="1010"/>
        </w:trPr>
        <w:tc>
          <w:tcPr>
            <w:tcW w:w="1196" w:type="dxa"/>
            <w:vAlign w:val="center"/>
          </w:tcPr>
          <w:p w:rsidR="00E16BEE" w:rsidRDefault="00F038F0">
            <w:pPr>
              <w:jc w:val="left"/>
              <w:rPr>
                <w:rFonts w:ascii="仿宋_GB2312" w:hAnsi="仿宋" w:cs="仿宋"/>
                <w:sz w:val="21"/>
                <w:szCs w:val="21"/>
              </w:rPr>
            </w:pPr>
            <w:r>
              <w:rPr>
                <w:rFonts w:ascii="仿宋_GB2312" w:hAnsi="仿宋" w:cs="仿宋" w:hint="eastAsia"/>
                <w:sz w:val="21"/>
                <w:szCs w:val="21"/>
              </w:rPr>
              <w:t>周边情况</w:t>
            </w:r>
          </w:p>
        </w:tc>
        <w:tc>
          <w:tcPr>
            <w:tcW w:w="9510" w:type="dxa"/>
            <w:gridSpan w:val="7"/>
            <w:vAlign w:val="center"/>
          </w:tcPr>
          <w:p w:rsidR="00E16BEE" w:rsidRDefault="00F038F0">
            <w:pPr>
              <w:jc w:val="left"/>
              <w:rPr>
                <w:rFonts w:ascii="仿宋_GB2312" w:hAnsi="仿宋" w:cs="仿宋"/>
                <w:sz w:val="21"/>
                <w:szCs w:val="21"/>
              </w:rPr>
            </w:pPr>
            <w:r>
              <w:rPr>
                <w:rFonts w:ascii="仿宋_GB2312" w:hAnsi="仿宋" w:cs="仿宋" w:hint="eastAsia"/>
                <w:sz w:val="21"/>
                <w:szCs w:val="21"/>
              </w:rPr>
              <w:t>□周边无人员密集的建筑（大型公交枢纽、 儿童活动场 所、老年 人照料设施、学校）；</w:t>
            </w:r>
          </w:p>
          <w:p w:rsidR="00E16BEE" w:rsidRDefault="00F038F0">
            <w:pPr>
              <w:jc w:val="left"/>
              <w:rPr>
                <w:rFonts w:ascii="仿宋_GB2312" w:hAnsi="仿宋" w:cs="仿宋"/>
                <w:sz w:val="21"/>
                <w:szCs w:val="21"/>
              </w:rPr>
            </w:pPr>
            <w:r>
              <w:rPr>
                <w:rFonts w:ascii="仿宋_GB2312" w:hAnsi="仿宋" w:cs="仿宋" w:hint="eastAsia"/>
                <w:sz w:val="21"/>
                <w:szCs w:val="21"/>
              </w:rPr>
              <w:t>周边无人员密集的公共空间；</w:t>
            </w:r>
          </w:p>
          <w:p w:rsidR="00E16BEE" w:rsidRDefault="00F038F0">
            <w:pPr>
              <w:jc w:val="left"/>
              <w:rPr>
                <w:rFonts w:ascii="仿宋_GB2312" w:hAnsi="仿宋" w:cs="仿宋"/>
                <w:sz w:val="21"/>
                <w:szCs w:val="21"/>
              </w:rPr>
            </w:pPr>
            <w:r>
              <w:rPr>
                <w:rFonts w:ascii="仿宋_GB2312" w:hAnsi="仿宋" w:cs="仿宋" w:hint="eastAsia"/>
                <w:sz w:val="21"/>
                <w:szCs w:val="21"/>
              </w:rPr>
              <w:t>周边无林地、化工厂、加油站、甲乙丙类液体和可燃气体储罐等建构筑物。</w:t>
            </w:r>
          </w:p>
        </w:tc>
      </w:tr>
      <w:tr w:rsidR="00E16BEE">
        <w:trPr>
          <w:trHeight w:val="1632"/>
        </w:trPr>
        <w:tc>
          <w:tcPr>
            <w:tcW w:w="3436" w:type="dxa"/>
            <w:gridSpan w:val="3"/>
            <w:vAlign w:val="center"/>
          </w:tcPr>
          <w:p w:rsidR="00E16BEE" w:rsidRDefault="00F038F0">
            <w:pPr>
              <w:jc w:val="left"/>
              <w:rPr>
                <w:rFonts w:ascii="仿宋_GB2312" w:hAnsi="仿宋" w:cs="仿宋"/>
                <w:sz w:val="21"/>
                <w:szCs w:val="21"/>
              </w:rPr>
            </w:pPr>
            <w:r>
              <w:rPr>
                <w:rFonts w:ascii="仿宋_GB2312" w:hAnsi="仿宋" w:cs="仿宋" w:hint="eastAsia"/>
                <w:sz w:val="21"/>
                <w:szCs w:val="21"/>
              </w:rPr>
              <w:t xml:space="preserve">建设单位（公章） </w:t>
            </w:r>
          </w:p>
          <w:p w:rsidR="00E16BEE" w:rsidRDefault="00E16BEE">
            <w:pPr>
              <w:jc w:val="left"/>
              <w:rPr>
                <w:rFonts w:ascii="仿宋_GB2312" w:hAnsi="仿宋" w:cs="仿宋"/>
                <w:sz w:val="21"/>
                <w:szCs w:val="21"/>
              </w:rPr>
            </w:pPr>
          </w:p>
          <w:p w:rsidR="00E16BEE" w:rsidRDefault="00E16BEE">
            <w:pPr>
              <w:jc w:val="left"/>
              <w:rPr>
                <w:rFonts w:ascii="仿宋_GB2312" w:hAnsi="仿宋" w:cs="仿宋"/>
                <w:sz w:val="21"/>
                <w:szCs w:val="21"/>
              </w:rPr>
            </w:pPr>
          </w:p>
          <w:p w:rsidR="00E16BEE" w:rsidRDefault="00F038F0">
            <w:pPr>
              <w:jc w:val="left"/>
              <w:rPr>
                <w:rFonts w:ascii="仿宋_GB2312" w:hAnsi="仿宋" w:cs="仿宋"/>
                <w:sz w:val="21"/>
                <w:szCs w:val="21"/>
              </w:rPr>
            </w:pPr>
            <w:r>
              <w:rPr>
                <w:rFonts w:ascii="仿宋_GB2312" w:hAnsi="仿宋" w:cs="仿宋" w:hint="eastAsia"/>
                <w:sz w:val="21"/>
                <w:szCs w:val="21"/>
              </w:rPr>
              <w:t xml:space="preserve">年  月  日               </w:t>
            </w:r>
          </w:p>
        </w:tc>
        <w:tc>
          <w:tcPr>
            <w:tcW w:w="3788" w:type="dxa"/>
            <w:gridSpan w:val="3"/>
            <w:vAlign w:val="center"/>
          </w:tcPr>
          <w:p w:rsidR="00E16BEE" w:rsidRDefault="00F038F0">
            <w:pPr>
              <w:jc w:val="left"/>
              <w:rPr>
                <w:rFonts w:ascii="仿宋_GB2312" w:hAnsi="仿宋" w:cs="仿宋"/>
                <w:sz w:val="21"/>
                <w:szCs w:val="21"/>
              </w:rPr>
            </w:pPr>
            <w:r>
              <w:rPr>
                <w:rFonts w:ascii="仿宋_GB2312" w:hAnsi="仿宋" w:cs="仿宋" w:hint="eastAsia"/>
                <w:sz w:val="21"/>
                <w:szCs w:val="21"/>
              </w:rPr>
              <w:t xml:space="preserve">监理单位（公章） </w:t>
            </w:r>
          </w:p>
          <w:p w:rsidR="00E16BEE" w:rsidRDefault="00E16BEE">
            <w:pPr>
              <w:jc w:val="left"/>
              <w:rPr>
                <w:rFonts w:ascii="仿宋_GB2312" w:hAnsi="仿宋" w:cs="仿宋"/>
                <w:sz w:val="21"/>
                <w:szCs w:val="21"/>
              </w:rPr>
            </w:pPr>
          </w:p>
          <w:p w:rsidR="00E16BEE" w:rsidRDefault="00E16BEE">
            <w:pPr>
              <w:jc w:val="left"/>
              <w:rPr>
                <w:rFonts w:ascii="仿宋_GB2312" w:hAnsi="仿宋" w:cs="仿宋"/>
                <w:sz w:val="21"/>
                <w:szCs w:val="21"/>
              </w:rPr>
            </w:pPr>
          </w:p>
          <w:p w:rsidR="00E16BEE" w:rsidRDefault="00F038F0">
            <w:pPr>
              <w:jc w:val="left"/>
              <w:rPr>
                <w:rFonts w:ascii="仿宋_GB2312" w:hAnsi="仿宋" w:cs="仿宋"/>
                <w:sz w:val="21"/>
                <w:szCs w:val="21"/>
              </w:rPr>
            </w:pPr>
            <w:r>
              <w:rPr>
                <w:rFonts w:ascii="仿宋_GB2312" w:hAnsi="仿宋" w:cs="仿宋" w:hint="eastAsia"/>
                <w:sz w:val="21"/>
                <w:szCs w:val="21"/>
              </w:rPr>
              <w:t>年  月  日</w:t>
            </w:r>
          </w:p>
        </w:tc>
        <w:tc>
          <w:tcPr>
            <w:tcW w:w="3482" w:type="dxa"/>
            <w:gridSpan w:val="2"/>
            <w:vAlign w:val="center"/>
          </w:tcPr>
          <w:p w:rsidR="00E16BEE" w:rsidRDefault="00E16BEE">
            <w:pPr>
              <w:jc w:val="left"/>
              <w:rPr>
                <w:rFonts w:ascii="仿宋_GB2312" w:hAnsi="仿宋" w:cs="仿宋"/>
                <w:sz w:val="21"/>
                <w:szCs w:val="21"/>
              </w:rPr>
            </w:pPr>
          </w:p>
          <w:p w:rsidR="00E16BEE" w:rsidRDefault="00F038F0">
            <w:pPr>
              <w:jc w:val="left"/>
              <w:rPr>
                <w:rFonts w:ascii="仿宋_GB2312" w:hAnsi="仿宋" w:cs="仿宋"/>
                <w:sz w:val="21"/>
                <w:szCs w:val="21"/>
              </w:rPr>
            </w:pPr>
            <w:r>
              <w:rPr>
                <w:rFonts w:ascii="仿宋_GB2312" w:hAnsi="仿宋" w:cs="仿宋" w:hint="eastAsia"/>
                <w:sz w:val="21"/>
                <w:szCs w:val="21"/>
              </w:rPr>
              <w:t xml:space="preserve">施工单位（公章） </w:t>
            </w:r>
          </w:p>
          <w:p w:rsidR="00E16BEE" w:rsidRDefault="00E16BEE">
            <w:pPr>
              <w:jc w:val="left"/>
              <w:rPr>
                <w:rFonts w:ascii="仿宋_GB2312" w:hAnsi="仿宋" w:cs="仿宋"/>
                <w:sz w:val="21"/>
                <w:szCs w:val="21"/>
              </w:rPr>
            </w:pPr>
          </w:p>
          <w:p w:rsidR="00E16BEE" w:rsidRDefault="00E16BEE">
            <w:pPr>
              <w:jc w:val="left"/>
              <w:rPr>
                <w:rFonts w:ascii="仿宋_GB2312" w:hAnsi="仿宋" w:cs="仿宋"/>
                <w:sz w:val="21"/>
                <w:szCs w:val="21"/>
              </w:rPr>
            </w:pPr>
          </w:p>
          <w:p w:rsidR="00E16BEE" w:rsidRDefault="00F038F0">
            <w:pPr>
              <w:jc w:val="left"/>
              <w:rPr>
                <w:rFonts w:ascii="仿宋_GB2312" w:hAnsi="仿宋" w:cs="仿宋"/>
                <w:sz w:val="21"/>
                <w:szCs w:val="21"/>
              </w:rPr>
            </w:pPr>
            <w:r>
              <w:rPr>
                <w:rFonts w:ascii="仿宋_GB2312" w:hAnsi="仿宋" w:cs="仿宋" w:hint="eastAsia"/>
                <w:sz w:val="21"/>
                <w:szCs w:val="21"/>
              </w:rPr>
              <w:t>年  月  日</w:t>
            </w:r>
          </w:p>
          <w:p w:rsidR="00E16BEE" w:rsidRDefault="00E16BEE">
            <w:pPr>
              <w:jc w:val="left"/>
              <w:rPr>
                <w:rFonts w:ascii="仿宋_GB2312" w:hAnsi="仿宋" w:cs="仿宋"/>
                <w:sz w:val="21"/>
                <w:szCs w:val="21"/>
              </w:rPr>
            </w:pPr>
          </w:p>
        </w:tc>
      </w:tr>
    </w:tbl>
    <w:p w:rsidR="00E16BEE" w:rsidRDefault="00F038F0">
      <w:pPr>
        <w:jc w:val="left"/>
      </w:pPr>
      <w:r>
        <w:rPr>
          <w:rFonts w:ascii="仿宋_GB2312" w:hAnsi="仿宋" w:cs="仿宋" w:hint="eastAsia"/>
          <w:sz w:val="21"/>
          <w:szCs w:val="21"/>
        </w:rPr>
        <w:t>备注：请将项目对应的情况在上表中打“</w:t>
      </w:r>
      <w:r>
        <w:rPr>
          <w:rFonts w:ascii="仿宋_GB2312" w:hAnsi="仿宋" w:cs="仿宋" w:hint="eastAsia"/>
          <w:sz w:val="21"/>
          <w:szCs w:val="21"/>
        </w:rPr>
        <w:sym w:font="Wingdings 2" w:char="0052"/>
      </w:r>
      <w:r>
        <w:rPr>
          <w:rFonts w:ascii="仿宋_GB2312" w:hAnsi="仿宋" w:cs="仿宋" w:hint="eastAsia"/>
          <w:sz w:val="21"/>
          <w:szCs w:val="21"/>
        </w:rPr>
        <w:t>”。同时申报单位需提供有效图纸、中标通知书、项目立项等相关资料备</w:t>
      </w:r>
    </w:p>
    <w:sectPr w:rsidR="00E16BEE" w:rsidSect="00E16BEE">
      <w:footerReference w:type="default" r:id="rId12"/>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6CFF" w:rsidRDefault="009B6CFF" w:rsidP="00E16BEE">
      <w:r>
        <w:separator/>
      </w:r>
    </w:p>
  </w:endnote>
  <w:endnote w:type="continuationSeparator" w:id="1">
    <w:p w:rsidR="009B6CFF" w:rsidRDefault="009B6CFF" w:rsidP="00E16B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BEE" w:rsidRDefault="00E16BEE">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BEE" w:rsidRDefault="00E16BEE">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BEE" w:rsidRDefault="00E16BEE">
    <w:pPr>
      <w:pStyle w:val="a5"/>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BEE" w:rsidRDefault="00E16BEE">
    <w:pPr>
      <w:pStyle w:val="a5"/>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BEE" w:rsidRDefault="00E16BEE">
    <w:pPr>
      <w:pStyle w:val="a5"/>
      <w:ind w:right="360"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BEE" w:rsidRDefault="00E16BEE">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6CFF" w:rsidRDefault="009B6CFF" w:rsidP="00E16BEE">
      <w:r>
        <w:separator/>
      </w:r>
    </w:p>
  </w:footnote>
  <w:footnote w:type="continuationSeparator" w:id="1">
    <w:p w:rsidR="009B6CFF" w:rsidRDefault="009B6CFF" w:rsidP="00E16BE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D79460"/>
    <w:multiLevelType w:val="singleLevel"/>
    <w:tmpl w:val="B0D79460"/>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defaultTabStop w:val="420"/>
  <w:evenAndOddHeaders/>
  <w:drawingGridHorizontalSpacing w:val="157"/>
  <w:drawingGridVerticalSpacing w:val="579"/>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TBkNWNiNzdlNjJjNGMzYzc3MjU3OGYxNjI0YWQ1NDgifQ=="/>
  </w:docVars>
  <w:rsids>
    <w:rsidRoot w:val="003A3EF9"/>
    <w:rsid w:val="0001292E"/>
    <w:rsid w:val="00016067"/>
    <w:rsid w:val="00040B4B"/>
    <w:rsid w:val="0004159B"/>
    <w:rsid w:val="0005139F"/>
    <w:rsid w:val="0005146D"/>
    <w:rsid w:val="00056362"/>
    <w:rsid w:val="000624E2"/>
    <w:rsid w:val="000774A6"/>
    <w:rsid w:val="000778B8"/>
    <w:rsid w:val="00077D97"/>
    <w:rsid w:val="00081C6E"/>
    <w:rsid w:val="00082A8A"/>
    <w:rsid w:val="000A143A"/>
    <w:rsid w:val="000A6730"/>
    <w:rsid w:val="000B16D7"/>
    <w:rsid w:val="000C359E"/>
    <w:rsid w:val="000F1F0C"/>
    <w:rsid w:val="000F7304"/>
    <w:rsid w:val="00113A71"/>
    <w:rsid w:val="00116B6C"/>
    <w:rsid w:val="00124893"/>
    <w:rsid w:val="00126989"/>
    <w:rsid w:val="00142053"/>
    <w:rsid w:val="00142BCD"/>
    <w:rsid w:val="00160CDF"/>
    <w:rsid w:val="00165E9B"/>
    <w:rsid w:val="00166A84"/>
    <w:rsid w:val="00183F7D"/>
    <w:rsid w:val="001855C2"/>
    <w:rsid w:val="00186641"/>
    <w:rsid w:val="001875CE"/>
    <w:rsid w:val="001A6EA0"/>
    <w:rsid w:val="001B044B"/>
    <w:rsid w:val="001B26DA"/>
    <w:rsid w:val="001B656C"/>
    <w:rsid w:val="001C0129"/>
    <w:rsid w:val="001C0713"/>
    <w:rsid w:val="001C7C58"/>
    <w:rsid w:val="001D06F3"/>
    <w:rsid w:val="001D3601"/>
    <w:rsid w:val="001D560F"/>
    <w:rsid w:val="001D6723"/>
    <w:rsid w:val="001D79F3"/>
    <w:rsid w:val="001F5888"/>
    <w:rsid w:val="001F72C2"/>
    <w:rsid w:val="0021245E"/>
    <w:rsid w:val="00233E4D"/>
    <w:rsid w:val="00237FA4"/>
    <w:rsid w:val="00240379"/>
    <w:rsid w:val="002420F3"/>
    <w:rsid w:val="002434BB"/>
    <w:rsid w:val="00260BF9"/>
    <w:rsid w:val="002901CC"/>
    <w:rsid w:val="0029070C"/>
    <w:rsid w:val="00292490"/>
    <w:rsid w:val="00294A64"/>
    <w:rsid w:val="002A18A8"/>
    <w:rsid w:val="002B1630"/>
    <w:rsid w:val="002B3F3E"/>
    <w:rsid w:val="002B5C50"/>
    <w:rsid w:val="002B7222"/>
    <w:rsid w:val="002E29CF"/>
    <w:rsid w:val="002F3179"/>
    <w:rsid w:val="00335A54"/>
    <w:rsid w:val="00344791"/>
    <w:rsid w:val="00362642"/>
    <w:rsid w:val="00364DD8"/>
    <w:rsid w:val="003672B3"/>
    <w:rsid w:val="00377B24"/>
    <w:rsid w:val="00394859"/>
    <w:rsid w:val="003A3EF9"/>
    <w:rsid w:val="003A5054"/>
    <w:rsid w:val="003A71EE"/>
    <w:rsid w:val="003B43AB"/>
    <w:rsid w:val="003B5CBF"/>
    <w:rsid w:val="00406FEE"/>
    <w:rsid w:val="004140E5"/>
    <w:rsid w:val="004339C7"/>
    <w:rsid w:val="00437B3D"/>
    <w:rsid w:val="0044593F"/>
    <w:rsid w:val="00470A36"/>
    <w:rsid w:val="00470D81"/>
    <w:rsid w:val="004801E2"/>
    <w:rsid w:val="004825CE"/>
    <w:rsid w:val="00482F89"/>
    <w:rsid w:val="00484A9C"/>
    <w:rsid w:val="00491377"/>
    <w:rsid w:val="00495156"/>
    <w:rsid w:val="00495EC6"/>
    <w:rsid w:val="004A63F6"/>
    <w:rsid w:val="004B2939"/>
    <w:rsid w:val="004B5595"/>
    <w:rsid w:val="004C1033"/>
    <w:rsid w:val="004C1F48"/>
    <w:rsid w:val="004D7C68"/>
    <w:rsid w:val="004E2618"/>
    <w:rsid w:val="004E40F6"/>
    <w:rsid w:val="0051043E"/>
    <w:rsid w:val="005209A4"/>
    <w:rsid w:val="005275B4"/>
    <w:rsid w:val="005320DC"/>
    <w:rsid w:val="005376F0"/>
    <w:rsid w:val="00540D0E"/>
    <w:rsid w:val="00544268"/>
    <w:rsid w:val="00550B62"/>
    <w:rsid w:val="00587350"/>
    <w:rsid w:val="00587D0F"/>
    <w:rsid w:val="005922A8"/>
    <w:rsid w:val="005A397E"/>
    <w:rsid w:val="005A43BE"/>
    <w:rsid w:val="005A66A8"/>
    <w:rsid w:val="005C0DA7"/>
    <w:rsid w:val="005C176C"/>
    <w:rsid w:val="005D01BB"/>
    <w:rsid w:val="005F369A"/>
    <w:rsid w:val="005F50BE"/>
    <w:rsid w:val="0061421C"/>
    <w:rsid w:val="00626BC7"/>
    <w:rsid w:val="00626D56"/>
    <w:rsid w:val="00632D88"/>
    <w:rsid w:val="006473A3"/>
    <w:rsid w:val="006506F3"/>
    <w:rsid w:val="006541F2"/>
    <w:rsid w:val="006558A8"/>
    <w:rsid w:val="00662DDA"/>
    <w:rsid w:val="00663820"/>
    <w:rsid w:val="00672C93"/>
    <w:rsid w:val="00674341"/>
    <w:rsid w:val="006A7A15"/>
    <w:rsid w:val="007143E6"/>
    <w:rsid w:val="007240FD"/>
    <w:rsid w:val="00736726"/>
    <w:rsid w:val="0074125E"/>
    <w:rsid w:val="007441FD"/>
    <w:rsid w:val="00751D59"/>
    <w:rsid w:val="00756A13"/>
    <w:rsid w:val="007631EA"/>
    <w:rsid w:val="00777554"/>
    <w:rsid w:val="00781B5F"/>
    <w:rsid w:val="00784608"/>
    <w:rsid w:val="00791B70"/>
    <w:rsid w:val="007A2EF4"/>
    <w:rsid w:val="007A4327"/>
    <w:rsid w:val="007A6315"/>
    <w:rsid w:val="007B07E8"/>
    <w:rsid w:val="007D0828"/>
    <w:rsid w:val="007D2CB9"/>
    <w:rsid w:val="007D5B0A"/>
    <w:rsid w:val="007E58B0"/>
    <w:rsid w:val="007F4207"/>
    <w:rsid w:val="00800E9C"/>
    <w:rsid w:val="008052AA"/>
    <w:rsid w:val="0080542B"/>
    <w:rsid w:val="00805F16"/>
    <w:rsid w:val="00815FD7"/>
    <w:rsid w:val="00832874"/>
    <w:rsid w:val="00836598"/>
    <w:rsid w:val="00842652"/>
    <w:rsid w:val="0085276A"/>
    <w:rsid w:val="00855D6E"/>
    <w:rsid w:val="00857ACF"/>
    <w:rsid w:val="00857B63"/>
    <w:rsid w:val="0086188E"/>
    <w:rsid w:val="00863987"/>
    <w:rsid w:val="00863B34"/>
    <w:rsid w:val="0087094E"/>
    <w:rsid w:val="00880825"/>
    <w:rsid w:val="00896448"/>
    <w:rsid w:val="008A44E7"/>
    <w:rsid w:val="008A47F8"/>
    <w:rsid w:val="008A692C"/>
    <w:rsid w:val="008B140A"/>
    <w:rsid w:val="008C5354"/>
    <w:rsid w:val="008D7CF4"/>
    <w:rsid w:val="008E1AC0"/>
    <w:rsid w:val="008F7B74"/>
    <w:rsid w:val="00914D05"/>
    <w:rsid w:val="00946B6D"/>
    <w:rsid w:val="00952826"/>
    <w:rsid w:val="00963EB6"/>
    <w:rsid w:val="00993551"/>
    <w:rsid w:val="009A4D26"/>
    <w:rsid w:val="009B109E"/>
    <w:rsid w:val="009B3271"/>
    <w:rsid w:val="009B6CFF"/>
    <w:rsid w:val="009C0706"/>
    <w:rsid w:val="009C42DE"/>
    <w:rsid w:val="009D61C5"/>
    <w:rsid w:val="009E7994"/>
    <w:rsid w:val="009F5D3B"/>
    <w:rsid w:val="00A00961"/>
    <w:rsid w:val="00A13D17"/>
    <w:rsid w:val="00A216EA"/>
    <w:rsid w:val="00A23ADF"/>
    <w:rsid w:val="00A27057"/>
    <w:rsid w:val="00A42BBA"/>
    <w:rsid w:val="00A55DCD"/>
    <w:rsid w:val="00A57E05"/>
    <w:rsid w:val="00A602E1"/>
    <w:rsid w:val="00A62A87"/>
    <w:rsid w:val="00A729F4"/>
    <w:rsid w:val="00A93589"/>
    <w:rsid w:val="00AA1CD3"/>
    <w:rsid w:val="00AB7303"/>
    <w:rsid w:val="00AD2603"/>
    <w:rsid w:val="00AE4D99"/>
    <w:rsid w:val="00AE6BC2"/>
    <w:rsid w:val="00B054C7"/>
    <w:rsid w:val="00B16567"/>
    <w:rsid w:val="00B2683C"/>
    <w:rsid w:val="00B35528"/>
    <w:rsid w:val="00B4393C"/>
    <w:rsid w:val="00B441A3"/>
    <w:rsid w:val="00B52318"/>
    <w:rsid w:val="00B568FB"/>
    <w:rsid w:val="00B77168"/>
    <w:rsid w:val="00B918AD"/>
    <w:rsid w:val="00B937EF"/>
    <w:rsid w:val="00BA389E"/>
    <w:rsid w:val="00BB2126"/>
    <w:rsid w:val="00BE01A4"/>
    <w:rsid w:val="00C0360C"/>
    <w:rsid w:val="00C064DA"/>
    <w:rsid w:val="00C072BE"/>
    <w:rsid w:val="00C116F6"/>
    <w:rsid w:val="00C1180E"/>
    <w:rsid w:val="00C137F9"/>
    <w:rsid w:val="00C211B7"/>
    <w:rsid w:val="00C255BB"/>
    <w:rsid w:val="00C453D6"/>
    <w:rsid w:val="00C55A50"/>
    <w:rsid w:val="00C878A9"/>
    <w:rsid w:val="00C938FC"/>
    <w:rsid w:val="00C96CAA"/>
    <w:rsid w:val="00C96CC4"/>
    <w:rsid w:val="00CA24A1"/>
    <w:rsid w:val="00CA70C2"/>
    <w:rsid w:val="00CA7F81"/>
    <w:rsid w:val="00CC33A6"/>
    <w:rsid w:val="00CC7CB4"/>
    <w:rsid w:val="00CE188B"/>
    <w:rsid w:val="00CF1921"/>
    <w:rsid w:val="00CF270A"/>
    <w:rsid w:val="00D01E38"/>
    <w:rsid w:val="00D03184"/>
    <w:rsid w:val="00D034A3"/>
    <w:rsid w:val="00D05675"/>
    <w:rsid w:val="00D06E06"/>
    <w:rsid w:val="00D12310"/>
    <w:rsid w:val="00D3513C"/>
    <w:rsid w:val="00D47D77"/>
    <w:rsid w:val="00D63361"/>
    <w:rsid w:val="00D83B19"/>
    <w:rsid w:val="00D9497A"/>
    <w:rsid w:val="00DA70D3"/>
    <w:rsid w:val="00DB6990"/>
    <w:rsid w:val="00DC232D"/>
    <w:rsid w:val="00DC300C"/>
    <w:rsid w:val="00DC5298"/>
    <w:rsid w:val="00DC5DF7"/>
    <w:rsid w:val="00DC6B29"/>
    <w:rsid w:val="00DE4474"/>
    <w:rsid w:val="00DF0430"/>
    <w:rsid w:val="00DF2ECB"/>
    <w:rsid w:val="00DF3616"/>
    <w:rsid w:val="00DF5B32"/>
    <w:rsid w:val="00E00DF6"/>
    <w:rsid w:val="00E1457F"/>
    <w:rsid w:val="00E16BEE"/>
    <w:rsid w:val="00E24B39"/>
    <w:rsid w:val="00E439A9"/>
    <w:rsid w:val="00E60B28"/>
    <w:rsid w:val="00E63AD8"/>
    <w:rsid w:val="00E705DA"/>
    <w:rsid w:val="00EB14AA"/>
    <w:rsid w:val="00EB1D6F"/>
    <w:rsid w:val="00EC02BC"/>
    <w:rsid w:val="00EC13D6"/>
    <w:rsid w:val="00EC3EDF"/>
    <w:rsid w:val="00ED12A0"/>
    <w:rsid w:val="00EE7F5D"/>
    <w:rsid w:val="00F0036C"/>
    <w:rsid w:val="00F038F0"/>
    <w:rsid w:val="00F2003F"/>
    <w:rsid w:val="00F24BF9"/>
    <w:rsid w:val="00F31202"/>
    <w:rsid w:val="00F45F72"/>
    <w:rsid w:val="00F47AAA"/>
    <w:rsid w:val="00F549C2"/>
    <w:rsid w:val="00F57047"/>
    <w:rsid w:val="00F6109D"/>
    <w:rsid w:val="00F66345"/>
    <w:rsid w:val="00F8385E"/>
    <w:rsid w:val="00F90E31"/>
    <w:rsid w:val="00F95F89"/>
    <w:rsid w:val="00FA10B7"/>
    <w:rsid w:val="00FA2758"/>
    <w:rsid w:val="00FA6888"/>
    <w:rsid w:val="00FB19F9"/>
    <w:rsid w:val="00FB463C"/>
    <w:rsid w:val="00FC2BA9"/>
    <w:rsid w:val="00FD07CB"/>
    <w:rsid w:val="05AA5FDE"/>
    <w:rsid w:val="065C44A6"/>
    <w:rsid w:val="06926DDA"/>
    <w:rsid w:val="0743289B"/>
    <w:rsid w:val="07A01A45"/>
    <w:rsid w:val="085611DB"/>
    <w:rsid w:val="099278CE"/>
    <w:rsid w:val="0A5831E8"/>
    <w:rsid w:val="0A6273E5"/>
    <w:rsid w:val="0B9E10CF"/>
    <w:rsid w:val="0F192B9A"/>
    <w:rsid w:val="0F977ACE"/>
    <w:rsid w:val="0FB51D65"/>
    <w:rsid w:val="105E23FD"/>
    <w:rsid w:val="108C4B27"/>
    <w:rsid w:val="10A93FA7"/>
    <w:rsid w:val="11F34DC7"/>
    <w:rsid w:val="120A70F9"/>
    <w:rsid w:val="120B09D3"/>
    <w:rsid w:val="1277090C"/>
    <w:rsid w:val="12F93E7C"/>
    <w:rsid w:val="138B521B"/>
    <w:rsid w:val="14216A0D"/>
    <w:rsid w:val="14E569F0"/>
    <w:rsid w:val="16216E90"/>
    <w:rsid w:val="171D2FED"/>
    <w:rsid w:val="17834F3C"/>
    <w:rsid w:val="18C27EF7"/>
    <w:rsid w:val="1963189C"/>
    <w:rsid w:val="1A132F57"/>
    <w:rsid w:val="1A162A9A"/>
    <w:rsid w:val="1AF5035E"/>
    <w:rsid w:val="1B90427A"/>
    <w:rsid w:val="1C8544F0"/>
    <w:rsid w:val="1F1A32A4"/>
    <w:rsid w:val="21BC20FF"/>
    <w:rsid w:val="2317378C"/>
    <w:rsid w:val="233B7EF4"/>
    <w:rsid w:val="25A47BDE"/>
    <w:rsid w:val="272A311F"/>
    <w:rsid w:val="276E25EB"/>
    <w:rsid w:val="27F31225"/>
    <w:rsid w:val="28BF29DD"/>
    <w:rsid w:val="2923315B"/>
    <w:rsid w:val="2A30604C"/>
    <w:rsid w:val="2B1965B7"/>
    <w:rsid w:val="2BBD182C"/>
    <w:rsid w:val="2C795483"/>
    <w:rsid w:val="2C9F1524"/>
    <w:rsid w:val="2DA77F8E"/>
    <w:rsid w:val="2ECE71D8"/>
    <w:rsid w:val="307B39D9"/>
    <w:rsid w:val="317B3E48"/>
    <w:rsid w:val="33750DE1"/>
    <w:rsid w:val="35AF3531"/>
    <w:rsid w:val="38286E20"/>
    <w:rsid w:val="3A2B3BE2"/>
    <w:rsid w:val="3A4521CB"/>
    <w:rsid w:val="3AE74C19"/>
    <w:rsid w:val="3AF532E2"/>
    <w:rsid w:val="3D4E42E0"/>
    <w:rsid w:val="3FBB6674"/>
    <w:rsid w:val="3FE42178"/>
    <w:rsid w:val="42F65D87"/>
    <w:rsid w:val="45F638F5"/>
    <w:rsid w:val="46AF4E47"/>
    <w:rsid w:val="49191488"/>
    <w:rsid w:val="49871994"/>
    <w:rsid w:val="49AB33A3"/>
    <w:rsid w:val="4B2E777C"/>
    <w:rsid w:val="4BF375FD"/>
    <w:rsid w:val="4E577925"/>
    <w:rsid w:val="502E16CE"/>
    <w:rsid w:val="503B5141"/>
    <w:rsid w:val="522D4196"/>
    <w:rsid w:val="532150D5"/>
    <w:rsid w:val="535D4D1B"/>
    <w:rsid w:val="54246266"/>
    <w:rsid w:val="566C3FA3"/>
    <w:rsid w:val="58067FBB"/>
    <w:rsid w:val="58E4070B"/>
    <w:rsid w:val="5A272EC1"/>
    <w:rsid w:val="5B58498F"/>
    <w:rsid w:val="5C5C54E7"/>
    <w:rsid w:val="5CDF5AB1"/>
    <w:rsid w:val="5DD86AA4"/>
    <w:rsid w:val="5F65532B"/>
    <w:rsid w:val="5FC63EC4"/>
    <w:rsid w:val="60052D99"/>
    <w:rsid w:val="615933A1"/>
    <w:rsid w:val="65FD709C"/>
    <w:rsid w:val="66E856F1"/>
    <w:rsid w:val="672B24C8"/>
    <w:rsid w:val="67485DC3"/>
    <w:rsid w:val="67C3384E"/>
    <w:rsid w:val="6A2E5B11"/>
    <w:rsid w:val="6AB53917"/>
    <w:rsid w:val="6CA03DBC"/>
    <w:rsid w:val="6D1C60F5"/>
    <w:rsid w:val="7200780E"/>
    <w:rsid w:val="72907369"/>
    <w:rsid w:val="73A905BB"/>
    <w:rsid w:val="75194114"/>
    <w:rsid w:val="757A5150"/>
    <w:rsid w:val="761738FD"/>
    <w:rsid w:val="76411A57"/>
    <w:rsid w:val="76746D49"/>
    <w:rsid w:val="77D02602"/>
    <w:rsid w:val="78CE0BEB"/>
    <w:rsid w:val="7BDA7949"/>
    <w:rsid w:val="7DAD6100"/>
    <w:rsid w:val="7EAA7C57"/>
    <w:rsid w:val="7EED64B5"/>
    <w:rsid w:val="7F462F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E16BEE"/>
    <w:pPr>
      <w:widowControl w:val="0"/>
      <w:jc w:val="both"/>
    </w:pPr>
    <w:rPr>
      <w:rFonts w:eastAsia="仿宋_GB2312"/>
      <w:kern w:val="2"/>
      <w:sz w:val="32"/>
      <w:szCs w:val="32"/>
    </w:rPr>
  </w:style>
  <w:style w:type="paragraph" w:styleId="1">
    <w:name w:val="heading 1"/>
    <w:basedOn w:val="a"/>
    <w:next w:val="a"/>
    <w:qFormat/>
    <w:rsid w:val="00E16BEE"/>
    <w:pPr>
      <w:keepNext/>
      <w:keepLines/>
      <w:spacing w:line="576" w:lineRule="auto"/>
      <w:outlineLvl w:val="0"/>
    </w:pPr>
    <w:rPr>
      <w:b/>
      <w:kern w:val="44"/>
      <w:sz w:val="44"/>
    </w:rPr>
  </w:style>
  <w:style w:type="paragraph" w:styleId="2">
    <w:name w:val="heading 2"/>
    <w:basedOn w:val="a"/>
    <w:next w:val="a"/>
    <w:unhideWhenUsed/>
    <w:qFormat/>
    <w:rsid w:val="00E16BEE"/>
    <w:pPr>
      <w:keepNext/>
      <w:keepLines/>
      <w:spacing w:line="413" w:lineRule="auto"/>
      <w:outlineLvl w:val="1"/>
    </w:pPr>
    <w:rPr>
      <w:rFonts w:ascii="Arial" w:eastAsia="黑体" w:hAnsi="Arial"/>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autoRedefine/>
    <w:qFormat/>
    <w:rsid w:val="00E16BEE"/>
    <w:pPr>
      <w:ind w:leftChars="2500" w:left="100"/>
    </w:pPr>
  </w:style>
  <w:style w:type="paragraph" w:styleId="a4">
    <w:name w:val="Balloon Text"/>
    <w:basedOn w:val="a"/>
    <w:autoRedefine/>
    <w:semiHidden/>
    <w:qFormat/>
    <w:rsid w:val="00E16BEE"/>
    <w:rPr>
      <w:sz w:val="18"/>
      <w:szCs w:val="18"/>
    </w:rPr>
  </w:style>
  <w:style w:type="paragraph" w:styleId="a5">
    <w:name w:val="footer"/>
    <w:basedOn w:val="a"/>
    <w:autoRedefine/>
    <w:qFormat/>
    <w:rsid w:val="00E16BEE"/>
    <w:pPr>
      <w:tabs>
        <w:tab w:val="center" w:pos="4153"/>
        <w:tab w:val="right" w:pos="8306"/>
      </w:tabs>
      <w:snapToGrid w:val="0"/>
      <w:jc w:val="left"/>
    </w:pPr>
    <w:rPr>
      <w:sz w:val="18"/>
      <w:szCs w:val="18"/>
    </w:rPr>
  </w:style>
  <w:style w:type="paragraph" w:styleId="a6">
    <w:name w:val="header"/>
    <w:basedOn w:val="a"/>
    <w:autoRedefine/>
    <w:qFormat/>
    <w:rsid w:val="00E16BEE"/>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qFormat/>
    <w:rsid w:val="00E16BEE"/>
    <w:pPr>
      <w:widowControl/>
      <w:spacing w:before="100" w:beforeAutospacing="1" w:after="100" w:afterAutospacing="1"/>
      <w:jc w:val="left"/>
    </w:pPr>
    <w:rPr>
      <w:rFonts w:ascii="宋体" w:hAnsi="宋体" w:cs="宋体"/>
      <w:kern w:val="0"/>
      <w:sz w:val="24"/>
    </w:rPr>
  </w:style>
  <w:style w:type="table" w:styleId="a8">
    <w:name w:val="Table Grid"/>
    <w:basedOn w:val="a1"/>
    <w:autoRedefine/>
    <w:qFormat/>
    <w:rsid w:val="00E16BEE"/>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autoRedefine/>
    <w:qFormat/>
    <w:rsid w:val="00E16BEE"/>
  </w:style>
  <w:style w:type="paragraph" w:customStyle="1" w:styleId="Char0">
    <w:name w:val="Char"/>
    <w:basedOn w:val="a"/>
    <w:autoRedefine/>
    <w:qFormat/>
    <w:rsid w:val="00E16BEE"/>
    <w:rPr>
      <w:rFonts w:eastAsia="宋体"/>
      <w:sz w:val="21"/>
      <w:szCs w:val="24"/>
    </w:rPr>
  </w:style>
  <w:style w:type="paragraph" w:styleId="aa">
    <w:name w:val="List Paragraph"/>
    <w:basedOn w:val="a"/>
    <w:autoRedefine/>
    <w:uiPriority w:val="34"/>
    <w:qFormat/>
    <w:rsid w:val="00E16BEE"/>
    <w:pPr>
      <w:ind w:firstLineChars="200" w:firstLine="420"/>
    </w:pPr>
  </w:style>
  <w:style w:type="paragraph" w:customStyle="1" w:styleId="ab">
    <w:name w:val="正文（缩进）"/>
    <w:basedOn w:val="a"/>
    <w:autoRedefine/>
    <w:qFormat/>
    <w:rsid w:val="00E16BEE"/>
    <w:pPr>
      <w:spacing w:before="156" w:after="156"/>
    </w:pPr>
  </w:style>
  <w:style w:type="character" w:customStyle="1" w:styleId="Char">
    <w:name w:val="日期 Char"/>
    <w:basedOn w:val="a0"/>
    <w:link w:val="a3"/>
    <w:autoRedefine/>
    <w:qFormat/>
    <w:rsid w:val="00E16BEE"/>
    <w:rPr>
      <w:rFonts w:eastAsia="仿宋_GB2312"/>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509</Words>
  <Characters>2905</Characters>
  <Application>Microsoft Office Word</Application>
  <DocSecurity>0</DocSecurity>
  <Lines>24</Lines>
  <Paragraphs>6</Paragraphs>
  <ScaleCrop>false</ScaleCrop>
  <Company>China</Company>
  <LinksUpToDate>false</LinksUpToDate>
  <CharactersWithSpaces>3408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大连金州新区管理委员会办公室文件</dc:title>
  <dc:creator>微软用户</dc:creator>
  <cp:lastModifiedBy>-</cp:lastModifiedBy>
  <cp:revision>7</cp:revision>
  <cp:lastPrinted>2024-06-03T01:22:00Z</cp:lastPrinted>
  <dcterms:created xsi:type="dcterms:W3CDTF">2024-05-11T07:57:00Z</dcterms:created>
  <dcterms:modified xsi:type="dcterms:W3CDTF">2024-06-05T01:23:00Z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C9335DB8023948C681E948859F7DCE9E_13</vt:lpwstr>
  </property>
</Properties>
</file>