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关于《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大连金普新区民政局老年助餐服务</w:t>
      </w:r>
    </w:p>
    <w:p>
      <w:pPr>
        <w:snapToGrid w:val="0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实施方案（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试行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）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》起草说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明</w:t>
      </w:r>
    </w:p>
    <w:p>
      <w:pPr>
        <w:snapToGrid w:val="0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为贯彻国家、省市民政部门关于积极发展老年助餐服务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</w:rPr>
        <w:t>实施方案文件精神，加快推进新区老年助餐服务工作，协同社区居家养老服务中心高质量融合发展，结合金普新区养老服务体系建设工作实际，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  <w:t>特制定《大连金普新区民政局老年助餐服务实施方案（试行）》，以下简称《方案》。</w:t>
      </w: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hint="eastAsia" w:ascii="Times New Roman" w:hAnsi="Times New Roman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b w:val="0"/>
          <w:bCs w:val="0"/>
          <w:sz w:val="32"/>
          <w:szCs w:val="32"/>
          <w:lang w:val="en-US" w:eastAsia="zh-CN"/>
        </w:rPr>
        <w:t>实施方案的必要性和可行性</w:t>
      </w:r>
    </w:p>
    <w:p>
      <w:pPr>
        <w:widowControl w:val="0"/>
        <w:numPr>
          <w:ilvl w:val="0"/>
          <w:numId w:val="2"/>
        </w:numPr>
        <w:spacing w:line="560" w:lineRule="exact"/>
        <w:ind w:left="640" w:leftChars="0" w:firstLine="0" w:firstLineChars="0"/>
        <w:jc w:val="both"/>
        <w:rPr>
          <w:rFonts w:hint="eastAsia" w:ascii="Times New Roman" w:hAnsi="Times New Roman" w:eastAsia="楷体_GB2312" w:cs="楷体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 w:cs="楷体_GB2312"/>
          <w:b w:val="0"/>
          <w:bCs w:val="0"/>
          <w:sz w:val="32"/>
          <w:szCs w:val="32"/>
          <w:lang w:val="en-US" w:eastAsia="zh-CN"/>
        </w:rPr>
        <w:t>必要性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截至2022年末，新区户籍人口数为96.31万人，我区60周岁及以上老年人达24.03万人，约占户籍人口25%，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  <w:t>人口老龄化日趋严重。截至目前，入住养老机构老年人人数为1862人，仅约占老年人人数的0.8%，多数老年人仍依托传统家庭养老和社区居家养老。老年助餐服务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</w:rPr>
        <w:t>工作是扩大养老服务供给、切实解决老年人特别是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  <w:t>特殊困难老年人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</w:rPr>
        <w:t>最现实、最迫切的“一餐热饭”难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  <w:t>题的有效途径。</w:t>
      </w:r>
    </w:p>
    <w:p>
      <w:pPr>
        <w:widowControl w:val="0"/>
        <w:numPr>
          <w:ilvl w:val="0"/>
          <w:numId w:val="2"/>
        </w:numPr>
        <w:spacing w:line="560" w:lineRule="exact"/>
        <w:ind w:left="640" w:leftChars="0" w:firstLine="0" w:firstLineChars="0"/>
        <w:jc w:val="both"/>
        <w:rPr>
          <w:rFonts w:hint="default" w:ascii="Times New Roman" w:hAnsi="Times New Roman" w:eastAsia="楷体_GB2312" w:cs="楷体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 w:cs="楷体_GB2312"/>
          <w:b w:val="0"/>
          <w:bCs w:val="0"/>
          <w:sz w:val="32"/>
          <w:szCs w:val="32"/>
          <w:lang w:val="en-US" w:eastAsia="zh-CN"/>
        </w:rPr>
        <w:t>可行性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我局先期已召开试点工作调研会。调研会邀请马桥子、友谊、拥政三个试点街道社区书记，充分了解基层实际情况后开始整体布局。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  <w:t>建设城乡社区食堂、助餐点、配餐点，以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</w:rPr>
        <w:t>构建用餐需求全覆盖的助餐服务网络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新区现有12个街道建立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</w:rPr>
        <w:t>老年助餐服务设施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共24所。我局将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</w:rPr>
        <w:t>根据试点工作开展情况，按照既定方案并结合上级民政部门工作部署，在各街道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  <w:t>逐步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</w:rPr>
        <w:t>开展老年助餐服务，按需增设点位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eastAsia="zh-CN"/>
        </w:rPr>
        <w:t>。</w:t>
      </w: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hint="default" w:ascii="Times New Roman" w:hAnsi="Times New Roman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b w:val="0"/>
          <w:bCs w:val="0"/>
          <w:sz w:val="32"/>
          <w:szCs w:val="32"/>
          <w:lang w:val="en-US" w:eastAsia="zh-CN"/>
        </w:rPr>
        <w:t>主要制度和措施</w:t>
      </w:r>
    </w:p>
    <w:p>
      <w:pPr>
        <w:widowControl w:val="0"/>
        <w:numPr>
          <w:ilvl w:val="0"/>
          <w:numId w:val="0"/>
        </w:numPr>
        <w:spacing w:line="560" w:lineRule="exact"/>
        <w:ind w:firstLine="640"/>
        <w:jc w:val="both"/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 w:val="0"/>
          <w:bCs w:val="0"/>
          <w:color w:val="000000"/>
          <w:sz w:val="32"/>
          <w:szCs w:val="32"/>
        </w:rPr>
        <w:t>高标准打造老年助餐服务体系，面向常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</w:rPr>
        <w:t>住老年人提供助餐、配餐服务，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kern w:val="0"/>
          <w:sz w:val="32"/>
          <w:szCs w:val="32"/>
        </w:rPr>
        <w:t>构建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</w:rPr>
        <w:t>用餐需求全覆盖的助餐服务网络。具体包括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  <w:t>城乡社区食堂、助餐点、配餐点。</w:t>
      </w:r>
    </w:p>
    <w:p>
      <w:pPr>
        <w:widowControl w:val="0"/>
        <w:numPr>
          <w:ilvl w:val="0"/>
          <w:numId w:val="0"/>
        </w:numPr>
        <w:spacing w:line="560" w:lineRule="exact"/>
        <w:ind w:left="640" w:leftChars="0"/>
        <w:jc w:val="both"/>
        <w:rPr>
          <w:rFonts w:hint="eastAsia" w:ascii="Times New Roman" w:hAnsi="Times New Roman" w:eastAsia="楷体_GB2312" w:cs="楷体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 w:cs="楷体_GB2312"/>
          <w:b w:val="0"/>
          <w:bCs w:val="0"/>
          <w:sz w:val="32"/>
          <w:szCs w:val="32"/>
          <w:lang w:val="en-US" w:eastAsia="zh-CN"/>
        </w:rPr>
        <w:t>（一）扶持政策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</w:rPr>
        <w:t>1．房产支持政策。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  <w:t>用于社区食堂、助餐点、配餐点的场地空间应免费提供，鼓励与党群服务中心、精神文明实践站等统筹使用，鼓励养老机构内部食堂开放使用。</w:t>
      </w:r>
    </w:p>
    <w:p>
      <w:pPr>
        <w:adjustRightInd w:val="0"/>
        <w:snapToGrid w:val="0"/>
        <w:spacing w:line="560" w:lineRule="exact"/>
        <w:ind w:firstLine="650"/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</w:rPr>
      </w:pP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</w:rPr>
        <w:t>2．税收优惠政策。对提供老年助餐服务取得的收入免征增值税；在计算应纳税所得额时，减按90%计入收入总额；承受房屋、土地用于老年助餐服务的免征契税；自有或其通过承租、无偿使用等方式取得并用于提供老年助餐服务的房产、土地免征房产税、城镇土地使用税；按规定免征不动产登记费、城市基础设施配套费等费用。</w:t>
      </w:r>
    </w:p>
    <w:p>
      <w:pPr>
        <w:adjustRightInd w:val="0"/>
        <w:snapToGrid w:val="0"/>
        <w:spacing w:line="560" w:lineRule="exact"/>
        <w:rPr>
          <w:rFonts w:hint="default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</w:rPr>
        <w:t>　　3．配套设施。对符合条件的老年助餐服务机构，按规定落实税费优惠政策，用水、用电、用气、用热按规定执行居民生活类价格。</w:t>
      </w:r>
    </w:p>
    <w:p>
      <w:pPr>
        <w:widowControl w:val="0"/>
        <w:numPr>
          <w:ilvl w:val="0"/>
          <w:numId w:val="0"/>
        </w:numPr>
        <w:spacing w:line="560" w:lineRule="exact"/>
        <w:ind w:left="640" w:leftChars="0"/>
        <w:jc w:val="both"/>
        <w:rPr>
          <w:rFonts w:hint="default" w:ascii="Times New Roman" w:hAnsi="Times New Roman" w:eastAsia="楷体_GB2312" w:cs="楷体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 w:cs="楷体_GB2312"/>
          <w:b w:val="0"/>
          <w:bCs w:val="0"/>
          <w:sz w:val="32"/>
          <w:szCs w:val="32"/>
          <w:lang w:val="en-US" w:eastAsia="zh-CN"/>
        </w:rPr>
        <w:t>（二）补贴政策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kern w:val="0"/>
          <w:sz w:val="32"/>
          <w:szCs w:val="32"/>
        </w:rPr>
      </w:pPr>
      <w:r>
        <w:rPr>
          <w:rFonts w:hint="eastAsia" w:ascii="Times New Roman" w:hAnsi="Times New Roman" w:eastAsia="楷体_GB2312" w:cs="楷体_GB2312"/>
          <w:b w:val="0"/>
          <w:bCs w:val="0"/>
          <w:snapToGrid w:val="0"/>
          <w:kern w:val="0"/>
          <w:sz w:val="32"/>
          <w:szCs w:val="32"/>
          <w:lang w:val="en-US" w:eastAsia="zh-CN"/>
        </w:rPr>
        <w:t>　　1．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kern w:val="0"/>
          <w:sz w:val="32"/>
          <w:szCs w:val="32"/>
        </w:rPr>
        <w:t>运营补贴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33" w:lineRule="auto"/>
        <w:ind w:left="7" w:right="337" w:firstLine="636"/>
        <w:textAlignment w:val="auto"/>
        <w:rPr>
          <w:rFonts w:hint="default" w:ascii="Times New Roman" w:hAnsi="Times New Roman" w:eastAsia="仿宋_GB2312" w:cs="仿宋_GB2312"/>
          <w:b w:val="0"/>
          <w:bCs w:val="0"/>
          <w:color w:val="auto"/>
          <w:sz w:val="32"/>
          <w:szCs w:val="32"/>
          <w:shd w:val="clear" w:color="auto" w:fill="FFFFFF"/>
          <w:lang w:val="en-US"/>
        </w:rPr>
      </w:pPr>
      <w:r>
        <w:rPr>
          <w:rFonts w:hint="eastAsia" w:ascii="Times New Roman" w:hAnsi="Times New Roman" w:eastAsia="仿宋_GB2312" w:cs="仿宋_GB2312"/>
          <w:b w:val="0"/>
          <w:bCs w:val="0"/>
          <w:color w:val="auto"/>
          <w:sz w:val="32"/>
          <w:szCs w:val="32"/>
          <w:highlight w:val="none"/>
          <w:shd w:val="clear" w:color="auto" w:fill="FFFFFF"/>
          <w:lang w:eastAsia="zh-CN"/>
        </w:rPr>
        <w:t>（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1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z w:val="32"/>
          <w:szCs w:val="32"/>
          <w:highlight w:val="none"/>
          <w:shd w:val="clear" w:color="auto" w:fill="FFFFFF"/>
          <w:lang w:eastAsia="zh-CN"/>
        </w:rPr>
        <w:t>）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z w:val="32"/>
          <w:szCs w:val="32"/>
          <w:highlight w:val="none"/>
          <w:shd w:val="clear" w:color="auto" w:fill="FFFFFF"/>
        </w:rPr>
        <w:t>补贴对象。建成并经新区民政局、市场监督管理局认定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pacing w:val="5"/>
          <w:highlight w:val="none"/>
        </w:rPr>
        <w:t>的城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pacing w:val="5"/>
        </w:rPr>
        <w:t>乡社区食堂、助餐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pacing w:val="5"/>
          <w:lang w:val="en-US" w:eastAsia="zh-CN"/>
        </w:rPr>
        <w:t>点和配餐点。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Times New Roman" w:hAnsi="Times New Roman" w:eastAsia="仿宋_GB2312" w:cs="仿宋_GB2312"/>
          <w:b w:val="0"/>
          <w:bCs w:val="0"/>
          <w:color w:val="000000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 w:cs="仿宋_GB2312"/>
          <w:b w:val="0"/>
          <w:bCs w:val="0"/>
          <w:color w:val="000000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Times New Roman" w:hAnsi="Times New Roman" w:eastAsia="仿宋_GB2312" w:cs="仿宋_GB2312"/>
          <w:b w:val="0"/>
          <w:bCs w:val="0"/>
          <w:color w:val="000000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Times New Roman" w:hAnsi="Times New Roman" w:eastAsia="仿宋_GB2312" w:cs="仿宋_GB2312"/>
          <w:b w:val="0"/>
          <w:bCs w:val="0"/>
          <w:color w:val="000000"/>
          <w:sz w:val="32"/>
          <w:szCs w:val="32"/>
          <w:shd w:val="clear" w:color="auto" w:fill="FFFFFF"/>
          <w:lang w:eastAsia="zh-CN"/>
        </w:rPr>
        <w:t>）</w:t>
      </w:r>
      <w:r>
        <w:rPr>
          <w:rFonts w:hint="eastAsia" w:ascii="Times New Roman" w:hAnsi="Times New Roman" w:eastAsia="仿宋_GB2312" w:cs="仿宋_GB2312"/>
          <w:b w:val="0"/>
          <w:bCs w:val="0"/>
          <w:color w:val="000000"/>
          <w:sz w:val="32"/>
          <w:szCs w:val="32"/>
          <w:shd w:val="clear" w:color="auto" w:fill="FFFFFF"/>
        </w:rPr>
        <w:t>补贴标准。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textAlignment w:val="auto"/>
        <w:rPr>
          <w:rFonts w:hint="default" w:ascii="Times New Roman" w:hAnsi="Times New Roman" w:eastAsia="仿宋_GB2312" w:cs="仿宋_GB2312"/>
          <w:b w:val="0"/>
          <w:bCs w:val="0"/>
          <w:color w:val="C00000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一是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社区食堂、助餐点、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pacing w:val="5"/>
          <w:highlight w:val="none"/>
          <w:lang w:val="en-US" w:eastAsia="zh-CN"/>
        </w:rPr>
        <w:t>配餐点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当年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  <w:t>实际运营满</w:t>
      </w:r>
      <w:r>
        <w:rPr>
          <w:rFonts w:hint="default" w:ascii="Times New Roman" w:hAnsi="Times New Roman" w:eastAsia="仿宋_GB2312" w:cs="Times New Roman"/>
          <w:b w:val="0"/>
          <w:bCs w:val="0"/>
          <w:spacing w:val="-43"/>
          <w:sz w:val="32"/>
          <w:szCs w:val="32"/>
          <w:highlight w:val="none"/>
        </w:rPr>
        <w:t xml:space="preserve">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  <w:t>240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 xml:space="preserve">天， 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并且为60周岁以上老年人服务人次占总服务人次比例原则上达到30%及以上的，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可向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新区民政部门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申请运营补助。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其中，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z w:val="32"/>
          <w:szCs w:val="32"/>
          <w:highlight w:val="none"/>
          <w:shd w:val="clear" w:color="auto" w:fill="FFFFFF"/>
        </w:rPr>
        <w:t>全年助餐人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数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z w:val="32"/>
          <w:szCs w:val="32"/>
          <w:highlight w:val="none"/>
          <w:shd w:val="clear" w:color="auto" w:fill="FFFFFF"/>
        </w:rPr>
        <w:t>在1万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-2万人次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z w:val="32"/>
          <w:szCs w:val="32"/>
          <w:highlight w:val="none"/>
          <w:shd w:val="clear" w:color="auto" w:fill="FFFFFF"/>
        </w:rPr>
        <w:t>的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城乡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社区食堂、助餐点、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pacing w:val="5"/>
          <w:highlight w:val="none"/>
          <w:lang w:val="en-US" w:eastAsia="zh-CN"/>
        </w:rPr>
        <w:t>配餐点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z w:val="32"/>
          <w:szCs w:val="32"/>
          <w:highlight w:val="none"/>
          <w:shd w:val="clear" w:color="auto" w:fill="FFFFFF"/>
        </w:rPr>
        <w:t>，给予每年2万元运营补贴；全年助餐人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数在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z w:val="32"/>
          <w:szCs w:val="32"/>
          <w:highlight w:val="none"/>
          <w:shd w:val="clear" w:color="auto" w:fill="FFFFFF"/>
        </w:rPr>
        <w:t>2万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-3万人次的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z w:val="32"/>
          <w:szCs w:val="32"/>
          <w:highlight w:val="none"/>
          <w:shd w:val="clear" w:color="auto" w:fill="FFFFFF"/>
        </w:rPr>
        <w:t>，给予每年3万元运营补贴；全年助餐人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数在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z w:val="32"/>
          <w:szCs w:val="32"/>
          <w:highlight w:val="none"/>
          <w:shd w:val="clear" w:color="auto" w:fill="FFFFFF"/>
        </w:rPr>
        <w:t>3万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人次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z w:val="32"/>
          <w:szCs w:val="32"/>
          <w:highlight w:val="none"/>
          <w:shd w:val="clear" w:color="auto" w:fill="FFFFFF"/>
        </w:rPr>
        <w:t>及以上的，给予每年5万元运营补贴。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仿宋_GB2312"/>
          <w:b w:val="0"/>
          <w:bCs w:val="0"/>
          <w:color w:val="000000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  <w:t>二是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</w:rPr>
        <w:t>社区用房用于建设助餐点、配餐点，给予每年1万元场地补贴，用于水电费、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  <w:t>送餐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</w:rPr>
        <w:t>人员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  <w:t>志愿服务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</w:rPr>
        <w:t>等支出。</w:t>
      </w:r>
    </w:p>
    <w:p>
      <w:pPr>
        <w:pStyle w:val="5"/>
        <w:widowControl/>
        <w:shd w:val="clear" w:color="auto" w:fill="FFFFFF"/>
        <w:spacing w:beforeAutospacing="0" w:afterAutospacing="0" w:line="560" w:lineRule="exact"/>
        <w:ind w:firstLine="643"/>
        <w:jc w:val="both"/>
        <w:rPr>
          <w:rFonts w:hint="eastAsia" w:ascii="Times New Roman" w:hAnsi="Times New Roman" w:eastAsia="仿宋_GB2312" w:cs="仿宋_GB2312"/>
          <w:b w:val="0"/>
          <w:bCs w:val="0"/>
          <w:color w:val="000000"/>
          <w:sz w:val="32"/>
          <w:szCs w:val="32"/>
          <w:highlight w:val="none"/>
          <w:shd w:val="clear" w:color="auto" w:fill="FFFFFF"/>
        </w:rPr>
      </w:pPr>
      <w:r>
        <w:rPr>
          <w:rFonts w:hint="eastAsia" w:ascii="Times New Roman" w:hAnsi="Times New Roman" w:eastAsia="仿宋_GB2312" w:cs="仿宋_GB2312"/>
          <w:b w:val="0"/>
          <w:bCs w:val="0"/>
          <w:color w:val="000000"/>
          <w:sz w:val="32"/>
          <w:szCs w:val="32"/>
          <w:highlight w:val="none"/>
          <w:shd w:val="clear" w:color="auto" w:fill="FFFFFF"/>
          <w:lang w:eastAsia="zh-CN"/>
        </w:rPr>
        <w:t>（</w:t>
      </w:r>
      <w:r>
        <w:rPr>
          <w:rFonts w:hint="eastAsia" w:ascii="Times New Roman" w:hAnsi="Times New Roman" w:eastAsia="仿宋_GB2312" w:cs="仿宋_GB2312"/>
          <w:b w:val="0"/>
          <w:bCs w:val="0"/>
          <w:color w:val="000000"/>
          <w:sz w:val="32"/>
          <w:szCs w:val="32"/>
          <w:highlight w:val="none"/>
          <w:shd w:val="clear" w:color="auto" w:fill="FFFFFF"/>
          <w:lang w:val="en-US" w:eastAsia="zh-CN"/>
        </w:rPr>
        <w:t>3</w:t>
      </w:r>
      <w:r>
        <w:rPr>
          <w:rFonts w:hint="eastAsia" w:ascii="Times New Roman" w:hAnsi="Times New Roman" w:eastAsia="仿宋_GB2312" w:cs="仿宋_GB2312"/>
          <w:b w:val="0"/>
          <w:bCs w:val="0"/>
          <w:color w:val="000000"/>
          <w:sz w:val="32"/>
          <w:szCs w:val="32"/>
          <w:highlight w:val="none"/>
          <w:shd w:val="clear" w:color="auto" w:fill="FFFFFF"/>
          <w:lang w:eastAsia="zh-CN"/>
        </w:rPr>
        <w:t>）</w:t>
      </w:r>
      <w:r>
        <w:rPr>
          <w:rFonts w:hint="eastAsia" w:ascii="Times New Roman" w:hAnsi="Times New Roman" w:eastAsia="仿宋_GB2312" w:cs="仿宋_GB2312"/>
          <w:b w:val="0"/>
          <w:bCs w:val="0"/>
          <w:color w:val="000000"/>
          <w:sz w:val="32"/>
          <w:szCs w:val="32"/>
          <w:highlight w:val="none"/>
          <w:shd w:val="clear" w:color="auto" w:fill="FFFFFF"/>
        </w:rPr>
        <w:t>补贴发放。</w:t>
      </w:r>
      <w:r>
        <w:rPr>
          <w:rFonts w:hint="eastAsia" w:ascii="Times New Roman" w:hAnsi="Times New Roman" w:eastAsia="仿宋_GB2312" w:cs="仿宋_GB2312"/>
          <w:b w:val="0"/>
          <w:bCs w:val="0"/>
          <w:kern w:val="2"/>
          <w:sz w:val="32"/>
          <w:szCs w:val="32"/>
          <w:highlight w:val="none"/>
          <w:lang w:val="en-US" w:eastAsia="zh-CN" w:bidi="ar-SA"/>
        </w:rPr>
        <w:t>新区民政部门根据助餐点服务人次、服务质量、群众满意度等，对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社区食堂、助餐点、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配餐点</w:t>
      </w:r>
      <w:r>
        <w:rPr>
          <w:rFonts w:hint="eastAsia" w:ascii="Times New Roman" w:hAnsi="Times New Roman" w:eastAsia="仿宋_GB2312" w:cs="仿宋_GB2312"/>
          <w:b w:val="0"/>
          <w:bCs w:val="0"/>
          <w:kern w:val="2"/>
          <w:sz w:val="32"/>
          <w:szCs w:val="32"/>
          <w:highlight w:val="none"/>
          <w:lang w:val="en-US" w:eastAsia="zh-CN" w:bidi="ar-SA"/>
        </w:rPr>
        <w:t>运营情况进行评估，发放相应补贴。</w:t>
      </w:r>
      <w:r>
        <w:rPr>
          <w:rFonts w:hint="eastAsia" w:ascii="Times New Roman" w:hAnsi="Times New Roman" w:eastAsia="仿宋_GB2312" w:cs="仿宋_GB2312"/>
          <w:b w:val="0"/>
          <w:bCs w:val="0"/>
          <w:color w:val="000000"/>
          <w:sz w:val="32"/>
          <w:szCs w:val="32"/>
          <w:highlight w:val="none"/>
          <w:shd w:val="clear" w:color="auto" w:fill="FFFFFF"/>
        </w:rPr>
        <w:t>当年实际运营满</w:t>
      </w:r>
      <w:r>
        <w:rPr>
          <w:rFonts w:hint="eastAsia" w:ascii="Times New Roman" w:hAnsi="Times New Roman" w:eastAsia="仿宋_GB2312" w:cs="仿宋_GB2312"/>
          <w:b w:val="0"/>
          <w:bCs w:val="0"/>
          <w:color w:val="000000"/>
          <w:sz w:val="32"/>
          <w:szCs w:val="32"/>
          <w:highlight w:val="none"/>
          <w:shd w:val="clear" w:color="auto" w:fill="FFFFFF"/>
          <w:lang w:val="en-US" w:eastAsia="zh-CN"/>
        </w:rPr>
        <w:t>足240天</w:t>
      </w:r>
      <w:r>
        <w:rPr>
          <w:rFonts w:hint="eastAsia" w:ascii="Times New Roman" w:hAnsi="Times New Roman" w:eastAsia="仿宋_GB2312" w:cs="仿宋_GB2312"/>
          <w:b w:val="0"/>
          <w:bCs w:val="0"/>
          <w:color w:val="000000"/>
          <w:sz w:val="32"/>
          <w:szCs w:val="32"/>
          <w:highlight w:val="none"/>
          <w:shd w:val="clear" w:color="auto" w:fill="FFFFFF"/>
        </w:rPr>
        <w:t>的</w:t>
      </w:r>
      <w:r>
        <w:rPr>
          <w:rFonts w:hint="eastAsia" w:ascii="Times New Roman" w:hAnsi="Times New Roman" w:eastAsia="仿宋_GB2312" w:cs="仿宋_GB2312"/>
          <w:b w:val="0"/>
          <w:bCs w:val="0"/>
          <w:kern w:val="2"/>
          <w:sz w:val="32"/>
          <w:szCs w:val="32"/>
          <w:highlight w:val="none"/>
        </w:rPr>
        <w:t>社区食堂、助餐点、配餐点</w:t>
      </w:r>
      <w:r>
        <w:rPr>
          <w:rFonts w:hint="eastAsia" w:ascii="Times New Roman" w:hAnsi="Times New Roman" w:eastAsia="仿宋_GB2312" w:cs="仿宋_GB2312"/>
          <w:b w:val="0"/>
          <w:bCs w:val="0"/>
          <w:color w:val="000000"/>
          <w:sz w:val="32"/>
          <w:szCs w:val="32"/>
          <w:highlight w:val="none"/>
          <w:shd w:val="clear" w:color="auto" w:fill="FFFFFF"/>
        </w:rPr>
        <w:t>可参与考核评估，经评估合格后发放补贴。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b w:val="0"/>
          <w:bCs w:val="0"/>
          <w:color w:val="000000"/>
          <w:sz w:val="32"/>
          <w:szCs w:val="32"/>
          <w:highlight w:val="none"/>
          <w:shd w:val="clear" w:color="auto" w:fill="FFFFFF"/>
        </w:rPr>
      </w:pP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自《</w:t>
      </w:r>
      <w:r>
        <w:rPr>
          <w:rFonts w:hint="eastAsia" w:ascii="Times New Roman" w:hAnsi="Times New Roman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方案》实施之日起，同步废止《</w:t>
      </w:r>
      <w:r>
        <w:rPr>
          <w:rFonts w:hint="eastAsia" w:ascii="Times New Roman" w:hAnsi="Times New Roman" w:eastAsia="仿宋_GB2312" w:cs="仿宋_GB2312"/>
          <w:b w:val="0"/>
          <w:bCs w:val="0"/>
          <w:color w:val="000000"/>
          <w:sz w:val="32"/>
          <w:szCs w:val="32"/>
        </w:rPr>
        <w:t>金普新区社区居家养老服务中心建设的实施方案</w:t>
      </w:r>
      <w:r>
        <w:rPr>
          <w:rFonts w:hint="eastAsia" w:ascii="Times New Roman" w:hAnsi="Times New Roman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》，其中的补贴资金用于老年助餐服务补贴。</w:t>
      </w:r>
    </w:p>
    <w:p>
      <w:pPr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snapToGrid w:val="0"/>
          <w:kern w:val="0"/>
          <w:sz w:val="32"/>
          <w:szCs w:val="32"/>
        </w:rPr>
      </w:pPr>
      <w:r>
        <w:rPr>
          <w:rFonts w:hint="eastAsia" w:ascii="Times New Roman" w:hAnsi="Times New Roman" w:eastAsia="楷体_GB2312" w:cs="楷体_GB2312"/>
          <w:b w:val="0"/>
          <w:bCs w:val="0"/>
          <w:snapToGrid w:val="0"/>
          <w:kern w:val="0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楷体_GB2312" w:cs="楷体_GB2312"/>
          <w:b w:val="0"/>
          <w:bCs w:val="0"/>
          <w:snapToGrid w:val="0"/>
          <w:kern w:val="0"/>
          <w:sz w:val="32"/>
          <w:szCs w:val="32"/>
          <w:lang w:eastAsia="zh-CN"/>
        </w:rPr>
        <w:t>．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kern w:val="0"/>
          <w:sz w:val="32"/>
          <w:szCs w:val="32"/>
        </w:rPr>
        <w:t>老年人就餐补贴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仿宋_GB2312"/>
          <w:b w:val="0"/>
          <w:bCs w:val="0"/>
          <w:color w:val="000000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 w:cs="仿宋_GB2312"/>
          <w:b w:val="0"/>
          <w:bCs w:val="0"/>
          <w:color w:val="000000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Times New Roman" w:hAnsi="Times New Roman" w:eastAsia="仿宋_GB2312" w:cs="仿宋_GB2312"/>
          <w:b w:val="0"/>
          <w:bCs w:val="0"/>
          <w:color w:val="000000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 w:ascii="Times New Roman" w:hAnsi="Times New Roman" w:eastAsia="仿宋_GB2312" w:cs="仿宋_GB2312"/>
          <w:b w:val="0"/>
          <w:bCs w:val="0"/>
          <w:color w:val="000000"/>
          <w:sz w:val="32"/>
          <w:szCs w:val="32"/>
          <w:shd w:val="clear" w:color="auto" w:fill="FFFFFF"/>
          <w:lang w:eastAsia="zh-CN"/>
        </w:rPr>
        <w:t>）</w:t>
      </w:r>
      <w:r>
        <w:rPr>
          <w:rFonts w:hint="eastAsia" w:ascii="Times New Roman" w:hAnsi="Times New Roman" w:eastAsia="仿宋_GB2312" w:cs="仿宋_GB2312"/>
          <w:b w:val="0"/>
          <w:bCs w:val="0"/>
          <w:color w:val="000000"/>
          <w:sz w:val="32"/>
          <w:szCs w:val="32"/>
          <w:shd w:val="clear" w:color="auto" w:fill="FFFFFF"/>
        </w:rPr>
        <w:t>补贴对象。60 周岁及以上特殊困难老年人（最低生活保障对象、特困人员、低收入家庭</w:t>
      </w:r>
      <w:r>
        <w:rPr>
          <w:rFonts w:hint="eastAsia" w:ascii="Times New Roman" w:hAnsi="Times New Roman" w:eastAsia="仿宋_GB2312" w:cs="仿宋_GB2312"/>
          <w:b w:val="0"/>
          <w:bCs w:val="0"/>
          <w:color w:val="000000"/>
          <w:sz w:val="32"/>
          <w:szCs w:val="32"/>
          <w:shd w:val="clear" w:color="auto" w:fill="FFFFFF"/>
          <w:lang w:eastAsia="zh-CN"/>
        </w:rPr>
        <w:t>、</w:t>
      </w:r>
      <w:r>
        <w:rPr>
          <w:rFonts w:hint="eastAsia" w:ascii="Times New Roman" w:hAnsi="Times New Roman" w:eastAsia="仿宋_GB2312" w:cs="仿宋_GB2312"/>
          <w:b w:val="0"/>
          <w:bCs w:val="0"/>
          <w:color w:val="000000"/>
          <w:sz w:val="32"/>
          <w:szCs w:val="32"/>
          <w:shd w:val="clear" w:color="auto" w:fill="FFFFFF"/>
        </w:rPr>
        <w:t>计划生育特殊家庭中的老年人）。已享受困难老年人入住养老机构补贴的不再重复享受补贴政策。</w:t>
      </w:r>
    </w:p>
    <w:p>
      <w:pPr>
        <w:pStyle w:val="5"/>
        <w:widowControl/>
        <w:shd w:val="clear" w:color="auto" w:fill="FFFFFF"/>
        <w:spacing w:beforeAutospacing="0" w:afterAutospacing="0" w:line="560" w:lineRule="exact"/>
        <w:ind w:firstLine="643"/>
        <w:jc w:val="both"/>
        <w:rPr>
          <w:rFonts w:ascii="Times New Roman" w:hAnsi="Times New Roman" w:eastAsia="仿宋_GB2312" w:cs="仿宋_GB2312"/>
          <w:b w:val="0"/>
          <w:bCs w:val="0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仿宋_GB2312"/>
          <w:b w:val="0"/>
          <w:bCs w:val="0"/>
          <w:color w:val="000000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Times New Roman" w:hAnsi="Times New Roman" w:eastAsia="仿宋_GB2312" w:cs="仿宋_GB2312"/>
          <w:b w:val="0"/>
          <w:bCs w:val="0"/>
          <w:color w:val="000000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Times New Roman" w:hAnsi="Times New Roman" w:eastAsia="仿宋_GB2312" w:cs="仿宋_GB2312"/>
          <w:b w:val="0"/>
          <w:bCs w:val="0"/>
          <w:color w:val="000000"/>
          <w:sz w:val="32"/>
          <w:szCs w:val="32"/>
          <w:shd w:val="clear" w:color="auto" w:fill="FFFFFF"/>
          <w:lang w:eastAsia="zh-CN"/>
        </w:rPr>
        <w:t>）</w:t>
      </w:r>
      <w:r>
        <w:rPr>
          <w:rFonts w:hint="eastAsia" w:ascii="Times New Roman" w:hAnsi="Times New Roman" w:eastAsia="仿宋_GB2312" w:cs="仿宋_GB2312"/>
          <w:b w:val="0"/>
          <w:bCs w:val="0"/>
          <w:color w:val="000000"/>
          <w:sz w:val="32"/>
          <w:szCs w:val="32"/>
          <w:shd w:val="clear" w:color="auto" w:fill="FFFFFF"/>
        </w:rPr>
        <w:t>补贴标准。每人每天享受补贴标准为5元（午餐时段）。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default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 w:val="0"/>
          <w:bCs w:val="0"/>
          <w:color w:val="000000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Times New Roman" w:hAnsi="Times New Roman" w:eastAsia="仿宋_GB2312" w:cs="仿宋_GB2312"/>
          <w:b w:val="0"/>
          <w:bCs w:val="0"/>
          <w:color w:val="00000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Times New Roman" w:hAnsi="Times New Roman" w:eastAsia="仿宋_GB2312" w:cs="仿宋_GB2312"/>
          <w:b w:val="0"/>
          <w:bCs w:val="0"/>
          <w:color w:val="000000"/>
          <w:sz w:val="32"/>
          <w:szCs w:val="32"/>
          <w:shd w:val="clear" w:color="auto" w:fill="FFFFFF"/>
          <w:lang w:eastAsia="zh-CN"/>
        </w:rPr>
        <w:t>）</w:t>
      </w:r>
      <w:r>
        <w:rPr>
          <w:rFonts w:hint="eastAsia" w:ascii="Times New Roman" w:hAnsi="Times New Roman" w:eastAsia="仿宋_GB2312" w:cs="仿宋_GB2312"/>
          <w:b w:val="0"/>
          <w:bCs w:val="0"/>
          <w:color w:val="000000"/>
          <w:sz w:val="32"/>
          <w:szCs w:val="32"/>
          <w:shd w:val="clear" w:color="auto" w:fill="FFFFFF"/>
        </w:rPr>
        <w:t>补贴发放。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shd w:val="clear" w:color="auto" w:fill="FFFFFF"/>
        </w:rPr>
        <w:t>符合条件的老人向常住地社区（村）提出申请，街道进行初审后，新区民政局根据老人类别进行审定，并负责助餐补贴的发放。就餐补贴不发放现金，不能累计使用和转赠。由</w:t>
      </w:r>
      <w:r>
        <w:rPr>
          <w:rFonts w:hint="eastAsia" w:ascii="Times New Roman" w:hAnsi="Times New Roman" w:eastAsia="仿宋_GB2312" w:cs="仿宋_GB2312"/>
          <w:sz w:val="32"/>
          <w:szCs w:val="32"/>
        </w:rPr>
        <w:t>社区食堂、助餐点、配餐点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shd w:val="clear" w:color="auto" w:fill="FFFFFF"/>
        </w:rPr>
        <w:t>运营主体在与符合就餐补贴政策的老年人利用支付宝就餐结算时，直接给予扣减，就餐费用直接通过金普民生综合服务平台打入运营主体账户。</w:t>
      </w: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hint="default" w:ascii="Times New Roman" w:hAnsi="Times New Roman" w:eastAsia="黑体" w:cs="黑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  <w:t>征求意见情况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 w:val="0"/>
          <w:bCs/>
          <w:sz w:val="32"/>
          <w:szCs w:val="32"/>
          <w:lang w:val="en-US" w:eastAsia="zh-CN"/>
        </w:rPr>
        <w:t>《方案》已征求财政局、市场监督管理局以及各街道的意见，以上单位均无意见。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仿宋_GB2312"/>
          <w:b w:val="0"/>
          <w:bCs/>
          <w:sz w:val="32"/>
          <w:szCs w:val="32"/>
          <w:lang w:val="en-US" w:eastAsia="zh-CN"/>
        </w:rPr>
      </w:pPr>
    </w:p>
    <w:p>
      <w:pPr>
        <w:rPr>
          <w:rFonts w:ascii="Times New Roman" w:hAnsi="Times New Roma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08A4555"/>
    <w:multiLevelType w:val="singleLevel"/>
    <w:tmpl w:val="108A455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688EACF"/>
    <w:multiLevelType w:val="singleLevel"/>
    <w:tmpl w:val="2688EACF"/>
    <w:lvl w:ilvl="0" w:tentative="0">
      <w:start w:val="1"/>
      <w:numFmt w:val="chineseCounting"/>
      <w:suff w:val="nothing"/>
      <w:lvlText w:val="（%1）"/>
      <w:lvlJc w:val="left"/>
      <w:pPr>
        <w:ind w:left="640" w:leftChars="0" w:firstLine="0" w:firstLineChars="0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2B7F50"/>
    <w:rsid w:val="1A65411D"/>
    <w:rsid w:val="1BBD2F92"/>
    <w:rsid w:val="3A2F3A82"/>
    <w:rsid w:val="51E5746E"/>
    <w:rsid w:val="5729057E"/>
    <w:rsid w:val="7A6300D6"/>
    <w:rsid w:val="7E903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eastAsia="en-US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1160</TotalTime>
  <ScaleCrop>false</ScaleCrop>
  <LinksUpToDate>false</LinksUpToDate>
  <CharactersWithSpaces>0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2024-05-10T00:48:00Z</dcterms:created>
  <dc:creator>1</dc:creator>
  <cp:lastModifiedBy>张一百</cp:lastModifiedBy>
  <cp:lastPrinted>2024-05-11T02:49:10Z</cp:lastPrinted>
  <dcterms:modified xsi:type="dcterms:W3CDTF">2024-05-11T02:54:10Z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B035D44A4F2A4984917B892DC900AFB0</vt:lpwstr>
  </property>
</Properties>
</file>