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关于《金普新区居民小区电动汽车自行车</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充电基础设施建设管理实施方案</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（试行）》</w:t>
      </w:r>
      <w:bookmarkStart w:id="0" w:name="_GoBack"/>
      <w:bookmarkEnd w:id="0"/>
      <w:r>
        <w:rPr>
          <w:rFonts w:hint="eastAsia" w:ascii="方正小标宋简体" w:hAnsi="方正小标宋简体" w:eastAsia="方正小标宋简体" w:cs="方正小标宋简体"/>
          <w:sz w:val="44"/>
          <w:szCs w:val="44"/>
          <w:lang w:eastAsia="zh-CN"/>
        </w:rPr>
        <w:t>的起草说明</w:t>
      </w:r>
    </w:p>
    <w:p>
      <w:pPr>
        <w:keepNext w:val="0"/>
        <w:keepLines w:val="0"/>
        <w:pageBreakBefore w:val="0"/>
        <w:kinsoku/>
        <w:overflowPunct/>
        <w:topLinePunct w:val="0"/>
        <w:autoSpaceDE/>
        <w:autoSpaceDN/>
        <w:bidi w:val="0"/>
        <w:adjustRightInd/>
        <w:snapToGrid/>
        <w:spacing w:line="560" w:lineRule="exact"/>
        <w:textAlignment w:val="auto"/>
        <w:rPr>
          <w:rFonts w:hint="eastAsia"/>
          <w:lang w:eastAsia="zh-CN"/>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根据管委会相关工作部署，为</w:t>
      </w:r>
      <w:r>
        <w:rPr>
          <w:rFonts w:hint="eastAsia" w:ascii="Times New Roman" w:hAnsi="Times New Roman" w:eastAsia="仿宋_GB2312" w:cs="Times New Roman"/>
          <w:sz w:val="32"/>
          <w:szCs w:val="32"/>
          <w:lang w:val="en-US" w:eastAsia="zh-CN"/>
        </w:rPr>
        <w:t>规范</w:t>
      </w:r>
      <w:r>
        <w:rPr>
          <w:rFonts w:hint="default" w:ascii="Times New Roman" w:hAnsi="Times New Roman" w:eastAsia="仿宋_GB2312" w:cs="Times New Roman"/>
          <w:sz w:val="32"/>
          <w:szCs w:val="32"/>
          <w:lang w:val="en-US" w:eastAsia="zh-CN"/>
        </w:rPr>
        <w:t>金普新区</w:t>
      </w:r>
      <w:r>
        <w:rPr>
          <w:rFonts w:hint="eastAsia" w:ascii="Times New Roman" w:hAnsi="Times New Roman" w:eastAsia="仿宋_GB2312" w:cs="Times New Roman"/>
          <w:sz w:val="32"/>
          <w:szCs w:val="32"/>
          <w:lang w:val="en-US" w:eastAsia="zh-CN"/>
        </w:rPr>
        <w:t>居民小区电动汽车、自行车充电基础设施建设工作</w:t>
      </w:r>
      <w:r>
        <w:rPr>
          <w:rFonts w:hint="default" w:ascii="Times New Roman" w:hAnsi="Times New Roman" w:eastAsia="仿宋_GB2312" w:cs="Times New Roman"/>
          <w:sz w:val="32"/>
          <w:szCs w:val="32"/>
          <w:lang w:val="en-US" w:eastAsia="zh-CN"/>
        </w:rPr>
        <w:t>，</w:t>
      </w:r>
      <w:r>
        <w:rPr>
          <w:rFonts w:hint="eastAsia" w:ascii="仿宋_GB2312" w:hAnsi="仿宋_GB2312" w:eastAsia="仿宋_GB2312" w:cs="仿宋_GB2312"/>
          <w:sz w:val="32"/>
          <w:szCs w:val="32"/>
          <w:lang w:val="en-US" w:eastAsia="zh-CN"/>
        </w:rPr>
        <w:t>我局</w:t>
      </w:r>
      <w:r>
        <w:rPr>
          <w:rFonts w:hint="default" w:ascii="Times New Roman" w:hAnsi="Times New Roman" w:eastAsia="仿宋_GB2312" w:cs="Times New Roman"/>
          <w:sz w:val="32"/>
          <w:szCs w:val="32"/>
          <w:lang w:val="en-US" w:eastAsia="zh-CN"/>
        </w:rPr>
        <w:t>依据</w:t>
      </w:r>
      <w:r>
        <w:rPr>
          <w:rFonts w:hint="eastAsia" w:ascii="Times New Roman" w:hAnsi="Times New Roman" w:eastAsia="仿宋_GB2312" w:cs="Times New Roman"/>
          <w:sz w:val="32"/>
          <w:szCs w:val="32"/>
          <w:lang w:val="en-US" w:eastAsia="zh-CN"/>
        </w:rPr>
        <w:t>国家、省、市</w:t>
      </w:r>
      <w:r>
        <w:rPr>
          <w:rFonts w:hint="default" w:ascii="Times New Roman" w:hAnsi="Times New Roman" w:eastAsia="仿宋_GB2312" w:cs="Times New Roman"/>
          <w:sz w:val="32"/>
          <w:szCs w:val="32"/>
          <w:lang w:val="en-US" w:eastAsia="zh-CN"/>
        </w:rPr>
        <w:t>上位政策</w:t>
      </w:r>
      <w:r>
        <w:rPr>
          <w:rFonts w:hint="eastAsia" w:ascii="Times New Roman" w:hAnsi="Times New Roman" w:eastAsia="仿宋_GB2312" w:cs="Times New Roman"/>
          <w:sz w:val="32"/>
          <w:szCs w:val="32"/>
          <w:lang w:val="en-US" w:eastAsia="zh-CN"/>
        </w:rPr>
        <w:t>和新区有关</w:t>
      </w:r>
      <w:r>
        <w:rPr>
          <w:rFonts w:hint="default" w:ascii="Times New Roman" w:hAnsi="Times New Roman" w:eastAsia="仿宋_GB2312" w:cs="Times New Roman"/>
          <w:sz w:val="32"/>
          <w:szCs w:val="32"/>
          <w:lang w:val="en-US" w:eastAsia="zh-CN"/>
        </w:rPr>
        <w:t>文件，</w:t>
      </w:r>
      <w:r>
        <w:rPr>
          <w:rFonts w:hint="eastAsia" w:ascii="Times New Roman" w:hAnsi="Times New Roman" w:eastAsia="仿宋_GB2312" w:cs="Times New Roman"/>
          <w:sz w:val="32"/>
          <w:szCs w:val="32"/>
          <w:lang w:val="en-US" w:eastAsia="zh-CN"/>
        </w:rPr>
        <w:t>起草</w:t>
      </w:r>
      <w:r>
        <w:rPr>
          <w:rFonts w:hint="default" w:ascii="Times New Roman" w:hAnsi="Times New Roman" w:eastAsia="仿宋_GB2312" w:cs="Times New Roman"/>
          <w:sz w:val="32"/>
          <w:szCs w:val="32"/>
          <w:lang w:val="en-US" w:eastAsia="zh-CN"/>
        </w:rPr>
        <w:t>《金普新区居民小区电动汽车自行车充电基础设施建设管理实施方案（试行）》</w:t>
      </w:r>
      <w:r>
        <w:rPr>
          <w:rFonts w:hint="eastAsia" w:ascii="Times New Roman" w:hAnsi="Times New Roman" w:eastAsia="仿宋_GB2312" w:cs="Times New Roman"/>
          <w:sz w:val="32"/>
          <w:szCs w:val="32"/>
          <w:lang w:val="en-US" w:eastAsia="zh-CN"/>
        </w:rPr>
        <w:t>（以下简称《实施方案》）</w:t>
      </w:r>
      <w:r>
        <w:rPr>
          <w:rFonts w:hint="default" w:ascii="Times New Roman" w:hAnsi="Times New Roman" w:eastAsia="仿宋_GB2312" w:cs="Times New Roman"/>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从制定总体目标、确定主要任务、明确部门职责、加强实施保障等方面出发，结合新区相关职能部门意见和建议，</w:t>
      </w:r>
      <w:r>
        <w:rPr>
          <w:rFonts w:hint="eastAsia" w:ascii="Times New Roman" w:hAnsi="Times New Roman" w:eastAsia="仿宋_GB2312" w:cs="Times New Roman"/>
          <w:sz w:val="32"/>
          <w:szCs w:val="32"/>
          <w:lang w:val="en-US" w:eastAsia="zh-CN"/>
        </w:rPr>
        <w:t>形成了</w:t>
      </w:r>
      <w:r>
        <w:rPr>
          <w:rFonts w:hint="default" w:ascii="Times New Roman" w:hAnsi="Times New Roman" w:eastAsia="仿宋_GB2312" w:cs="Times New Roman"/>
          <w:sz w:val="32"/>
          <w:szCs w:val="32"/>
          <w:lang w:val="en-US" w:eastAsia="zh-CN"/>
        </w:rPr>
        <w:t>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一、背景和意义</w:t>
      </w:r>
    </w:p>
    <w:p>
      <w:pPr>
        <w:pStyle w:val="2"/>
        <w:keepNext w:val="0"/>
        <w:keepLines w:val="0"/>
        <w:pageBreakBefore w:val="0"/>
        <w:widowControl/>
        <w:kinsoku/>
        <w:overflowPunct/>
        <w:topLinePunct w:val="0"/>
        <w:autoSpaceDE/>
        <w:autoSpaceDN/>
        <w:bidi w:val="0"/>
        <w:adjustRightInd/>
        <w:snapToGrid/>
        <w:spacing w:before="15" w:beforeAutospacing="0" w:after="15" w:afterAutospacing="0" w:line="560" w:lineRule="exact"/>
        <w:ind w:firstLine="645"/>
        <w:jc w:val="both"/>
        <w:textAlignment w:val="auto"/>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kern w:val="2"/>
          <w:sz w:val="32"/>
          <w:szCs w:val="32"/>
          <w:lang w:val="en-US" w:eastAsia="zh-CN" w:bidi="ar-SA"/>
        </w:rPr>
        <w:t>2022年1月，</w:t>
      </w:r>
      <w:r>
        <w:rPr>
          <w:rFonts w:hint="eastAsia" w:ascii="Times New Roman" w:hAnsi="Times New Roman" w:eastAsia="仿宋_GB2312" w:cs="Times New Roman"/>
          <w:sz w:val="32"/>
          <w:szCs w:val="32"/>
          <w:lang w:val="en-US" w:eastAsia="zh-CN"/>
        </w:rPr>
        <w:t>《国家发展改革委等部门关于进一步提升电动汽车充电基础设施服务保障能力的实施意见》（发改能源规〔2022〕53号）出台，新的《实施意见》与国家2015年出台的《指导意见》相比完善了居住社区充电设施建设推进机制，提出创新居住社区充电服务商业模式，鼓励推广智能有序充电，对金普新区居民小区充电基础设施建设提出了新要求。</w:t>
      </w:r>
    </w:p>
    <w:p>
      <w:pPr>
        <w:pStyle w:val="2"/>
        <w:keepNext w:val="0"/>
        <w:keepLines w:val="0"/>
        <w:pageBreakBefore w:val="0"/>
        <w:widowControl/>
        <w:kinsoku/>
        <w:overflowPunct/>
        <w:topLinePunct w:val="0"/>
        <w:autoSpaceDE/>
        <w:autoSpaceDN/>
        <w:bidi w:val="0"/>
        <w:adjustRightInd/>
        <w:snapToGrid/>
        <w:spacing w:before="15" w:beforeAutospacing="0" w:after="15" w:afterAutospacing="0" w:line="560" w:lineRule="exact"/>
        <w:ind w:firstLine="645"/>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金普新区新能源电动汽车数量增长快速，电动自行车使用普遍存在，使得居民安装电动汽车、电动自行车充电基础设施需求紧迫，亟需出台居民小区实施方案，指导新区充电基础设施高质量建设。《实施方案》的制定能够</w:t>
      </w:r>
      <w:r>
        <w:rPr>
          <w:rFonts w:hint="eastAsia" w:ascii="仿宋_GB2312" w:hAnsi="仿宋_GB2312" w:eastAsia="仿宋_GB2312" w:cs="仿宋_GB2312"/>
          <w:b w:val="0"/>
          <w:bCs w:val="0"/>
          <w:color w:val="auto"/>
          <w:sz w:val="32"/>
          <w:szCs w:val="32"/>
          <w:lang w:val="en-US" w:eastAsia="zh-CN"/>
        </w:rPr>
        <w:t>确定居民小区充电基础设施建设的主要任务和目标，在部门分工协作的基础上推动充电基础设施按需建设，保障居民小区建成安全、智能、便捷、有序的充电基础设施，能够为电动汽车、电动自行车日常使用提供支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二、主要内容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明确了居民小区充电基础设施建设目标、原则以及方法。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i w:val="0"/>
          <w:iCs w:val="0"/>
          <w:caps w:val="0"/>
          <w:color w:val="auto"/>
          <w:spacing w:val="0"/>
          <w:kern w:val="0"/>
          <w:sz w:val="32"/>
          <w:szCs w:val="32"/>
          <w:highlight w:val="none"/>
          <w:lang w:val="en-US" w:eastAsia="zh-CN" w:bidi="ar"/>
        </w:rPr>
      </w:pPr>
      <w:r>
        <w:rPr>
          <w:rFonts w:hint="eastAsia" w:ascii="仿宋_GB2312" w:hAnsi="仿宋_GB2312" w:eastAsia="仿宋_GB2312" w:cs="仿宋_GB2312"/>
          <w:sz w:val="32"/>
          <w:szCs w:val="32"/>
          <w:lang w:val="en-US" w:eastAsia="zh-CN"/>
        </w:rPr>
        <w:t>依据国家、省、市对居民小区充电基础设施建设的相关要求，《实施方案》提出严格落实新建小区配建比例要求，推动既有小区充电基础设施建设方案，结合国家电网相关规定做好电力配套服务，同步加强充电基础设施安全管理，发挥物业企业积极作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_GB2312" w:hAnsi="仿宋_GB2312" w:eastAsia="仿宋_GB2312" w:cs="仿宋_GB2312"/>
          <w:sz w:val="32"/>
          <w:szCs w:val="32"/>
          <w:lang w:val="en-US" w:eastAsia="zh-CN"/>
        </w:rPr>
        <w:t>责任分工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充电基础设施项目的实施主体多为企业市场化运营，相关部门及单位按照确定的责任分工，协作推动居民小区充电基础设施建设。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6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保障措施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在符合国家、省、市有关支持政策下，健全工作机制，建立“新区部门统筹、街道社区落实”两级联动工作机制，明确责任分工和目标任务。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三、起草过程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仿宋" w:hAnsi="仿宋" w:eastAsia="仿宋" w:cs="仿宋"/>
          <w:b w:val="0"/>
          <w:bCs w:val="0"/>
          <w:i w:val="0"/>
          <w:iCs w:val="0"/>
          <w:caps w:val="0"/>
          <w:color w:val="auto"/>
          <w:spacing w:val="0"/>
          <w:kern w:val="0"/>
          <w:sz w:val="32"/>
          <w:szCs w:val="32"/>
          <w:highlight w:val="none"/>
          <w:lang w:val="en-US" w:eastAsia="zh-CN" w:bidi="ar"/>
        </w:rPr>
      </w:pPr>
      <w:r>
        <w:rPr>
          <w:rFonts w:hint="eastAsia" w:ascii="仿宋" w:hAnsi="仿宋" w:eastAsia="仿宋" w:cs="仿宋"/>
          <w:b w:val="0"/>
          <w:bCs w:val="0"/>
          <w:i w:val="0"/>
          <w:iCs w:val="0"/>
          <w:caps w:val="0"/>
          <w:color w:val="auto"/>
          <w:spacing w:val="0"/>
          <w:kern w:val="0"/>
          <w:sz w:val="32"/>
          <w:szCs w:val="32"/>
          <w:highlight w:val="none"/>
          <w:lang w:val="en-US" w:eastAsia="zh-CN" w:bidi="ar"/>
        </w:rPr>
        <w:t>我局就《实施方案》（征求意见稿）组织召开座谈会，听取了本文件直接相关的职能部门，包括发改局、科工局、自然资源分局、公安局、应急管理局、消防等部门以及街道办事处、供电公司等相关单位的建议，并经过书面征求意见后，综合各相关部门和单位所提出的建议及新区实际情况对《实施方案》进行了修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95A8BC"/>
    <w:multiLevelType w:val="singleLevel"/>
    <w:tmpl w:val="EC95A8BC"/>
    <w:lvl w:ilvl="0" w:tentative="0">
      <w:start w:val="1"/>
      <w:numFmt w:val="chineseCounting"/>
      <w:suff w:val="nothing"/>
      <w:lvlText w:val="（%1）"/>
      <w:lvlJc w:val="left"/>
      <w:pPr>
        <w:ind w:left="56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xZWFjMTA5NDYxYmFhYjU3NWUxZDE0ZDExNGVjMDEifQ=="/>
  </w:docVars>
  <w:rsids>
    <w:rsidRoot w:val="00000000"/>
    <w:rsid w:val="276F2928"/>
    <w:rsid w:val="2C5B37F9"/>
    <w:rsid w:val="2F6B1FE9"/>
    <w:rsid w:val="351D79A8"/>
    <w:rsid w:val="44873951"/>
    <w:rsid w:val="6E32082F"/>
    <w:rsid w:val="72403B4D"/>
    <w:rsid w:val="78CA2B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996</Words>
  <Characters>1009</Characters>
  <Lines>0</Lines>
  <Paragraphs>0</Paragraphs>
  <TotalTime>67</TotalTime>
  <ScaleCrop>false</ScaleCrop>
  <LinksUpToDate>false</LinksUpToDate>
  <CharactersWithSpaces>1009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2022-08-19T13:49:00Z</dcterms:created>
  <dc:creator>葉秋</dc:creator>
  <cp:lastModifiedBy>葉秋</cp:lastModifiedBy>
  <dcterms:modified xsi:type="dcterms:W3CDTF">2023-05-09T10:11:11Z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E7F0AC2DB438486AB9930420BFE13F39_13</vt:lpwstr>
  </property>
</Properties>
</file>